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DC8EC" w14:textId="77777777" w:rsidR="00284F30" w:rsidRPr="00490CC1" w:rsidRDefault="00000000" w:rsidP="00284F30">
      <w:pPr>
        <w:keepNext/>
        <w:jc w:val="center"/>
        <w:rPr>
          <w:rFonts w:ascii="Arial" w:eastAsia="Arial" w:hAnsi="Arial" w:cs="Arial"/>
          <w:b/>
          <w:sz w:val="22"/>
          <w:szCs w:val="22"/>
          <w:u w:val="single"/>
          <w:lang w:val="en-US"/>
        </w:rPr>
      </w:pPr>
      <w:bookmarkStart w:id="0" w:name="bookmark=id.gjdgxs" w:colFirst="0" w:colLast="0"/>
      <w:bookmarkEnd w:id="0"/>
      <w:r w:rsidRPr="00490CC1">
        <w:rPr>
          <w:rFonts w:ascii="Arial" w:eastAsia="Arial" w:hAnsi="Arial" w:cs="Arial"/>
          <w:b/>
          <w:sz w:val="22"/>
          <w:szCs w:val="22"/>
          <w:u w:val="single"/>
        </w:rPr>
        <w:t xml:space="preserve">INFORME DE CONTADOR PÚBLICO INDEPENDIENTE SOBRE EL CUMPLIMIENTO DE LOS REQUERIMIENTOS DE LA INSPECCIÓN GENERAL DE JUSTICIA EN RELACIÓN CON EL ESTADO DE SITUACIÓN PATRIMONIAL </w:t>
      </w:r>
      <w:r w:rsidRPr="00490CC1">
        <w:rPr>
          <w:rFonts w:ascii="Arial" w:eastAsia="Arial" w:hAnsi="Arial" w:cs="Arial"/>
          <w:b/>
          <w:i/>
          <w:sz w:val="22"/>
          <w:szCs w:val="22"/>
          <w:u w:val="single"/>
        </w:rPr>
        <w:t>{O “BALANCE GENERAL”}</w:t>
      </w:r>
      <w:r w:rsidRPr="00490CC1">
        <w:rPr>
          <w:rFonts w:ascii="Arial" w:eastAsia="Arial" w:hAnsi="Arial" w:cs="Arial"/>
          <w:b/>
          <w:sz w:val="22"/>
          <w:szCs w:val="22"/>
          <w:u w:val="single"/>
        </w:rPr>
        <w:t xml:space="preserve"> ESPECIAL CONSOLIDADO DE FUSIÓN</w:t>
      </w:r>
      <w:r w:rsidR="00284F30" w:rsidRPr="00490CC1">
        <w:rPr>
          <w:rFonts w:ascii="Arial" w:eastAsia="Arial" w:hAnsi="Arial" w:cs="Arial"/>
          <w:b/>
          <w:sz w:val="22"/>
          <w:szCs w:val="22"/>
          <w:u w:val="single"/>
          <w:vertAlign w:val="superscript"/>
        </w:rPr>
        <w:footnoteReference w:id="1"/>
      </w:r>
      <w:r w:rsidR="00284F30" w:rsidRPr="00490CC1">
        <w:rPr>
          <w:rFonts w:ascii="Arial" w:eastAsia="Arial" w:hAnsi="Arial" w:cs="Arial"/>
          <w:b/>
          <w:sz w:val="22"/>
          <w:szCs w:val="22"/>
          <w:u w:val="single"/>
          <w:lang w:val="en-US"/>
        </w:rPr>
        <w:t xml:space="preserve"> </w:t>
      </w:r>
    </w:p>
    <w:p w14:paraId="00000001" w14:textId="4961DD66" w:rsidR="00096FB5" w:rsidRDefault="00096FB5">
      <w:pPr>
        <w:keepNext/>
        <w:jc w:val="center"/>
        <w:rPr>
          <w:rFonts w:ascii="Arial" w:eastAsia="Arial" w:hAnsi="Arial" w:cs="Arial"/>
          <w:b/>
          <w:sz w:val="24"/>
          <w:szCs w:val="24"/>
          <w:u w:val="single"/>
        </w:rPr>
      </w:pPr>
    </w:p>
    <w:p w14:paraId="00000002" w14:textId="77777777" w:rsidR="00096FB5" w:rsidRDefault="00096FB5">
      <w:pPr>
        <w:tabs>
          <w:tab w:val="left" w:pos="-720"/>
        </w:tabs>
        <w:spacing w:line="216" w:lineRule="auto"/>
        <w:rPr>
          <w:rFonts w:ascii="Arial" w:eastAsia="Arial" w:hAnsi="Arial" w:cs="Arial"/>
          <w:b/>
          <w:sz w:val="24"/>
          <w:szCs w:val="24"/>
        </w:rPr>
      </w:pPr>
    </w:p>
    <w:p w14:paraId="00000003" w14:textId="77777777" w:rsidR="00096FB5" w:rsidRDefault="00096FB5">
      <w:pPr>
        <w:tabs>
          <w:tab w:val="left" w:pos="-720"/>
        </w:tabs>
        <w:spacing w:line="216" w:lineRule="auto"/>
        <w:rPr>
          <w:rFonts w:ascii="Arial" w:eastAsia="Arial" w:hAnsi="Arial" w:cs="Arial"/>
          <w:b/>
          <w:sz w:val="24"/>
          <w:szCs w:val="24"/>
        </w:rPr>
      </w:pPr>
    </w:p>
    <w:p w14:paraId="00000004" w14:textId="77777777" w:rsidR="00096FB5" w:rsidRDefault="00000000">
      <w:pPr>
        <w:tabs>
          <w:tab w:val="left" w:pos="-720"/>
        </w:tabs>
        <w:ind w:right="48"/>
        <w:jc w:val="both"/>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00000005" w14:textId="77777777" w:rsidR="00096FB5" w:rsidRDefault="00000000">
      <w:pPr>
        <w:tabs>
          <w:tab w:val="left" w:pos="-720"/>
        </w:tabs>
        <w:ind w:right="48"/>
        <w:jc w:val="both"/>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r>
        <w:rPr>
          <w:rFonts w:ascii="Arial" w:eastAsia="Arial" w:hAnsi="Arial" w:cs="Arial"/>
          <w:sz w:val="24"/>
          <w:szCs w:val="24"/>
        </w:rPr>
        <w:t xml:space="preserve"> </w:t>
      </w:r>
    </w:p>
    <w:p w14:paraId="00000006" w14:textId="77777777" w:rsidR="00096FB5" w:rsidRDefault="00000000">
      <w:pPr>
        <w:tabs>
          <w:tab w:val="left" w:pos="-720"/>
        </w:tabs>
        <w:ind w:right="48"/>
        <w:jc w:val="both"/>
        <w:rPr>
          <w:rFonts w:ascii="Arial" w:eastAsia="Arial" w:hAnsi="Arial" w:cs="Arial"/>
          <w:color w:val="0000FF"/>
          <w:sz w:val="24"/>
          <w:szCs w:val="24"/>
        </w:rPr>
      </w:pPr>
      <w:r>
        <w:rPr>
          <w:rFonts w:ascii="Arial" w:eastAsia="Arial" w:hAnsi="Arial" w:cs="Arial"/>
          <w:sz w:val="24"/>
          <w:szCs w:val="24"/>
        </w:rPr>
        <w:t xml:space="preserve">CUIT N°…… </w:t>
      </w:r>
      <w:r>
        <w:rPr>
          <w:rFonts w:ascii="Arial" w:eastAsia="Arial" w:hAnsi="Arial" w:cs="Arial"/>
          <w:sz w:val="24"/>
          <w:szCs w:val="24"/>
          <w:vertAlign w:val="superscript"/>
        </w:rPr>
        <w:t>(3)</w:t>
      </w:r>
    </w:p>
    <w:p w14:paraId="00000007" w14:textId="77777777" w:rsidR="00096FB5" w:rsidRDefault="00000000">
      <w:pPr>
        <w:tabs>
          <w:tab w:val="left" w:pos="-720"/>
        </w:tabs>
        <w:ind w:right="48"/>
        <w:jc w:val="both"/>
        <w:rPr>
          <w:rFonts w:ascii="Arial" w:eastAsia="Arial" w:hAnsi="Arial" w:cs="Arial"/>
          <w:sz w:val="24"/>
          <w:szCs w:val="24"/>
        </w:rPr>
      </w:pPr>
      <w:r>
        <w:rPr>
          <w:rFonts w:ascii="Arial" w:eastAsia="Arial" w:hAnsi="Arial" w:cs="Arial"/>
          <w:sz w:val="24"/>
          <w:szCs w:val="24"/>
        </w:rPr>
        <w:t>Domicilio Legal: ……</w:t>
      </w:r>
    </w:p>
    <w:p w14:paraId="00000008" w14:textId="77777777" w:rsidR="00096FB5" w:rsidRDefault="00096FB5">
      <w:pPr>
        <w:spacing w:line="216" w:lineRule="auto"/>
        <w:rPr>
          <w:rFonts w:ascii="Arial" w:eastAsia="Arial" w:hAnsi="Arial" w:cs="Arial"/>
          <w:sz w:val="24"/>
          <w:szCs w:val="24"/>
        </w:rPr>
      </w:pPr>
    </w:p>
    <w:p w14:paraId="00000009" w14:textId="77777777" w:rsidR="00096FB5" w:rsidRDefault="00096FB5">
      <w:pPr>
        <w:tabs>
          <w:tab w:val="left" w:pos="-720"/>
        </w:tabs>
        <w:spacing w:line="216" w:lineRule="auto"/>
        <w:rPr>
          <w:rFonts w:ascii="Arial" w:eastAsia="Arial" w:hAnsi="Arial" w:cs="Arial"/>
          <w:sz w:val="24"/>
          <w:szCs w:val="24"/>
        </w:rPr>
      </w:pPr>
    </w:p>
    <w:p w14:paraId="0000000A" w14:textId="77777777" w:rsidR="00096FB5" w:rsidRDefault="00000000">
      <w:pPr>
        <w:numPr>
          <w:ilvl w:val="0"/>
          <w:numId w:val="2"/>
        </w:numPr>
        <w:ind w:left="284" w:right="48" w:hanging="284"/>
        <w:rPr>
          <w:rFonts w:ascii="Arial" w:eastAsia="Arial" w:hAnsi="Arial" w:cs="Arial"/>
          <w:b/>
          <w:sz w:val="24"/>
          <w:szCs w:val="24"/>
        </w:rPr>
      </w:pPr>
      <w:r>
        <w:rPr>
          <w:rFonts w:ascii="Arial" w:eastAsia="Arial" w:hAnsi="Arial" w:cs="Arial"/>
          <w:b/>
          <w:sz w:val="24"/>
          <w:szCs w:val="24"/>
        </w:rPr>
        <w:t>Objeto del encargo</w:t>
      </w:r>
    </w:p>
    <w:p w14:paraId="0000000B" w14:textId="77777777" w:rsidR="00096FB5" w:rsidRDefault="00096FB5">
      <w:pPr>
        <w:ind w:right="48"/>
        <w:rPr>
          <w:rFonts w:ascii="Arial" w:eastAsia="Arial" w:hAnsi="Arial" w:cs="Arial"/>
          <w:sz w:val="24"/>
          <w:szCs w:val="24"/>
        </w:rPr>
      </w:pPr>
    </w:p>
    <w:p w14:paraId="0000000C" w14:textId="77777777" w:rsidR="00096FB5"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la Inspección General de Justicia (IGJ) en relación con el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consolidado de fusión, en cumplimiento del artículo 83, inciso 4.d) de la Sección XI de la Ley General de Sociedades N° 19.550 y de acuerdo con lo requerido por el artículo 146, inciso 3, de la Resolución General N° 15/24 y sus modificatorias (en adelante, “RG 15/24”) de la IGJ. El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consolidado de fusión mencionado precedentemente ha sido preparado por la Dirección </w:t>
      </w:r>
      <w:r>
        <w:rPr>
          <w:rFonts w:ascii="Arial" w:eastAsia="Arial" w:hAnsi="Arial" w:cs="Arial"/>
          <w:sz w:val="24"/>
          <w:szCs w:val="24"/>
          <w:vertAlign w:val="superscript"/>
        </w:rPr>
        <w:t>(4)</w:t>
      </w:r>
      <w:r>
        <w:rPr>
          <w:rFonts w:ascii="Arial" w:eastAsia="Arial" w:hAnsi="Arial" w:cs="Arial"/>
          <w:color w:val="0000FF"/>
          <w:sz w:val="24"/>
          <w:szCs w:val="24"/>
        </w:rPr>
        <w:t xml:space="preserve"> </w:t>
      </w:r>
      <w:r>
        <w:rPr>
          <w:rFonts w:ascii="Arial" w:eastAsia="Arial" w:hAnsi="Arial" w:cs="Arial"/>
          <w:sz w:val="24"/>
          <w:szCs w:val="24"/>
        </w:rPr>
        <w:t xml:space="preserve">de la Sociedad para el caso que las Asambleas de… </w:t>
      </w:r>
      <w:r>
        <w:rPr>
          <w:rFonts w:ascii="Arial" w:eastAsia="Arial" w:hAnsi="Arial" w:cs="Arial"/>
          <w:sz w:val="24"/>
          <w:szCs w:val="24"/>
          <w:vertAlign w:val="superscript"/>
        </w:rPr>
        <w:t>(a)</w:t>
      </w:r>
      <w:r>
        <w:rPr>
          <w:rFonts w:ascii="Arial" w:eastAsia="Arial" w:hAnsi="Arial" w:cs="Arial"/>
          <w:sz w:val="24"/>
          <w:szCs w:val="24"/>
        </w:rPr>
        <w:t xml:space="preserve"> y… </w:t>
      </w:r>
      <w:r>
        <w:rPr>
          <w:rFonts w:ascii="Arial" w:eastAsia="Arial" w:hAnsi="Arial" w:cs="Arial"/>
          <w:sz w:val="24"/>
          <w:szCs w:val="24"/>
          <w:vertAlign w:val="superscript"/>
        </w:rPr>
        <w:t>(b)</w:t>
      </w:r>
      <w:r>
        <w:rPr>
          <w:rFonts w:ascii="Arial" w:eastAsia="Arial" w:hAnsi="Arial" w:cs="Arial"/>
          <w:color w:val="0000FF"/>
          <w:sz w:val="24"/>
          <w:szCs w:val="24"/>
        </w:rPr>
        <w:t xml:space="preserve"> </w:t>
      </w:r>
      <w:r>
        <w:rPr>
          <w:rFonts w:ascii="Arial" w:eastAsia="Arial" w:hAnsi="Arial" w:cs="Arial"/>
          <w:sz w:val="24"/>
          <w:szCs w:val="24"/>
        </w:rPr>
        <w:t>decidan la fusión de las mismas y aprueben la relación de canje. Dicha información  será referida, en adelante, como “la Información objeto del encargo”.</w:t>
      </w:r>
    </w:p>
    <w:p w14:paraId="0000000D" w14:textId="77777777" w:rsidR="00096FB5" w:rsidRDefault="00096FB5">
      <w:pPr>
        <w:rPr>
          <w:rFonts w:ascii="Arial" w:eastAsia="Arial" w:hAnsi="Arial" w:cs="Arial"/>
          <w:sz w:val="24"/>
          <w:szCs w:val="24"/>
        </w:rPr>
      </w:pPr>
    </w:p>
    <w:p w14:paraId="0000000E" w14:textId="77777777" w:rsidR="00096FB5" w:rsidRDefault="00000000">
      <w:pPr>
        <w:numPr>
          <w:ilvl w:val="0"/>
          <w:numId w:val="2"/>
        </w:numPr>
        <w:ind w:left="284" w:right="48" w:hanging="284"/>
        <w:rPr>
          <w:rFonts w:ascii="Arial" w:eastAsia="Arial" w:hAnsi="Arial" w:cs="Arial"/>
          <w:b/>
          <w:sz w:val="24"/>
          <w:szCs w:val="24"/>
        </w:rPr>
      </w:pPr>
      <w:r>
        <w:rPr>
          <w:rFonts w:ascii="Arial" w:eastAsia="Arial" w:hAnsi="Arial" w:cs="Arial"/>
          <w:b/>
          <w:sz w:val="24"/>
          <w:szCs w:val="24"/>
        </w:rPr>
        <w:t xml:space="preserve">Responsabilidad de la Dirección </w:t>
      </w:r>
      <w:r>
        <w:rPr>
          <w:rFonts w:ascii="Arial" w:eastAsia="Arial" w:hAnsi="Arial" w:cs="Arial"/>
          <w:b/>
          <w:sz w:val="24"/>
          <w:szCs w:val="24"/>
          <w:vertAlign w:val="superscript"/>
        </w:rPr>
        <w:t>(4)</w:t>
      </w:r>
      <w:r>
        <w:rPr>
          <w:rFonts w:ascii="Arial" w:eastAsia="Arial" w:hAnsi="Arial" w:cs="Arial"/>
          <w:b/>
          <w:color w:val="0000FF"/>
          <w:sz w:val="24"/>
          <w:szCs w:val="24"/>
        </w:rPr>
        <w:t xml:space="preserve"> </w:t>
      </w:r>
      <w:r>
        <w:rPr>
          <w:rFonts w:ascii="Arial" w:eastAsia="Arial" w:hAnsi="Arial" w:cs="Arial"/>
          <w:b/>
          <w:sz w:val="24"/>
          <w:szCs w:val="24"/>
        </w:rPr>
        <w:t>de la Sociedad</w:t>
      </w:r>
    </w:p>
    <w:p w14:paraId="0000000F" w14:textId="77777777" w:rsidR="00096FB5" w:rsidRDefault="00096FB5">
      <w:pPr>
        <w:ind w:right="48"/>
        <w:rPr>
          <w:rFonts w:ascii="Arial" w:eastAsia="Arial" w:hAnsi="Arial" w:cs="Arial"/>
          <w:b/>
          <w:sz w:val="24"/>
          <w:szCs w:val="24"/>
        </w:rPr>
      </w:pPr>
    </w:p>
    <w:p w14:paraId="00000010" w14:textId="77777777" w:rsidR="00096FB5" w:rsidRDefault="00000000">
      <w:pPr>
        <w:ind w:right="48"/>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color w:val="0000FF"/>
          <w:sz w:val="24"/>
          <w:szCs w:val="24"/>
        </w:rPr>
        <w:t xml:space="preserve"> </w:t>
      </w:r>
      <w:r>
        <w:rPr>
          <w:rFonts w:ascii="Arial" w:eastAsia="Arial" w:hAnsi="Arial" w:cs="Arial"/>
          <w:sz w:val="24"/>
          <w:szCs w:val="24"/>
        </w:rPr>
        <w:t>de la Sociedad es responsable de la preparación y presentación de la Información objeto del encargo, de acuerdo con lo requerido por el artículo 146, inciso 3, de la RG 15/24, y del cumplimiento de las normas establecidas por la Ley General de Sociedades N° 19.550 y de las normas pertinentes de la IGJ en relación con el balance de fusión de sociedades.</w:t>
      </w:r>
    </w:p>
    <w:p w14:paraId="00000011" w14:textId="77777777" w:rsidR="00096FB5" w:rsidRDefault="00096FB5">
      <w:pPr>
        <w:ind w:right="48"/>
        <w:rPr>
          <w:rFonts w:ascii="Arial" w:eastAsia="Arial" w:hAnsi="Arial" w:cs="Arial"/>
          <w:sz w:val="24"/>
          <w:szCs w:val="24"/>
        </w:rPr>
      </w:pPr>
    </w:p>
    <w:p w14:paraId="00000012" w14:textId="77777777" w:rsidR="00096FB5" w:rsidRDefault="00000000">
      <w:pPr>
        <w:numPr>
          <w:ilvl w:val="0"/>
          <w:numId w:val="2"/>
        </w:numPr>
        <w:tabs>
          <w:tab w:val="left" w:pos="851"/>
        </w:tabs>
        <w:ind w:left="284" w:right="48" w:hanging="284"/>
        <w:rPr>
          <w:rFonts w:ascii="Arial" w:eastAsia="Arial" w:hAnsi="Arial" w:cs="Arial"/>
          <w:b/>
          <w:sz w:val="24"/>
          <w:szCs w:val="24"/>
        </w:rPr>
      </w:pPr>
      <w:r>
        <w:rPr>
          <w:rFonts w:ascii="Arial" w:eastAsia="Arial" w:hAnsi="Arial" w:cs="Arial"/>
          <w:b/>
          <w:sz w:val="24"/>
          <w:szCs w:val="24"/>
        </w:rPr>
        <w:t>Responsabilidad del contador público</w:t>
      </w:r>
    </w:p>
    <w:p w14:paraId="00000013" w14:textId="77777777" w:rsidR="00096FB5" w:rsidRDefault="00096FB5">
      <w:pPr>
        <w:tabs>
          <w:tab w:val="left" w:pos="851"/>
        </w:tabs>
        <w:ind w:right="48"/>
        <w:rPr>
          <w:rFonts w:ascii="Arial" w:eastAsia="Arial" w:hAnsi="Arial" w:cs="Arial"/>
          <w:b/>
          <w:sz w:val="24"/>
          <w:szCs w:val="24"/>
        </w:rPr>
      </w:pPr>
    </w:p>
    <w:p w14:paraId="00000014" w14:textId="77777777" w:rsidR="00096FB5" w:rsidRDefault="00000000">
      <w:pPr>
        <w:tabs>
          <w:tab w:val="left" w:pos="851"/>
        </w:tabs>
        <w:ind w:right="48"/>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00000015" w14:textId="77777777" w:rsidR="00096FB5" w:rsidRDefault="00096FB5">
      <w:pPr>
        <w:tabs>
          <w:tab w:val="left" w:pos="851"/>
        </w:tabs>
        <w:ind w:right="48"/>
        <w:rPr>
          <w:rFonts w:ascii="Arial" w:eastAsia="Arial" w:hAnsi="Arial" w:cs="Arial"/>
          <w:b/>
          <w:sz w:val="24"/>
          <w:szCs w:val="24"/>
        </w:rPr>
      </w:pPr>
    </w:p>
    <w:p w14:paraId="00000016" w14:textId="77777777" w:rsidR="00096FB5" w:rsidRDefault="00000000">
      <w:pPr>
        <w:numPr>
          <w:ilvl w:val="0"/>
          <w:numId w:val="2"/>
        </w:numPr>
        <w:tabs>
          <w:tab w:val="left" w:pos="851"/>
        </w:tabs>
        <w:ind w:left="284" w:right="48" w:hanging="284"/>
        <w:rPr>
          <w:rFonts w:ascii="Arial" w:eastAsia="Arial" w:hAnsi="Arial" w:cs="Arial"/>
          <w:b/>
          <w:sz w:val="24"/>
          <w:szCs w:val="24"/>
        </w:rPr>
      </w:pPr>
      <w:r>
        <w:rPr>
          <w:rFonts w:ascii="Arial" w:eastAsia="Arial" w:hAnsi="Arial" w:cs="Arial"/>
          <w:b/>
          <w:sz w:val="24"/>
          <w:szCs w:val="24"/>
        </w:rPr>
        <w:t>Tarea profesional</w:t>
      </w:r>
    </w:p>
    <w:p w14:paraId="00000017" w14:textId="77777777" w:rsidR="00096FB5" w:rsidRDefault="00096FB5">
      <w:pPr>
        <w:spacing w:after="120"/>
        <w:rPr>
          <w:rFonts w:ascii="Arial" w:eastAsia="Arial" w:hAnsi="Arial" w:cs="Arial"/>
          <w:sz w:val="24"/>
          <w:szCs w:val="24"/>
        </w:rPr>
      </w:pPr>
    </w:p>
    <w:p w14:paraId="00000018" w14:textId="77777777" w:rsidR="00096FB5" w:rsidRDefault="00000000">
      <w:pPr>
        <w:spacing w:after="120"/>
        <w:jc w:val="both"/>
        <w:rPr>
          <w:rFonts w:ascii="Arial" w:eastAsia="Arial" w:hAnsi="Arial" w:cs="Arial"/>
          <w:sz w:val="24"/>
          <w:szCs w:val="24"/>
        </w:rPr>
      </w:pPr>
      <w:r>
        <w:rPr>
          <w:rFonts w:ascii="Arial" w:eastAsia="Arial" w:hAnsi="Arial" w:cs="Arial"/>
          <w:sz w:val="24"/>
          <w:szCs w:val="24"/>
        </w:rPr>
        <w:t xml:space="preserve">Mi tarea profesional fue desarrollada de conformidad con las normas establecidas en la sección VIII de la Resolución Técnica N° 37 de la Federación Argentina de Consejos Profesionales de Ciencias Económicas (en adelante, “RT </w:t>
      </w:r>
      <w:r>
        <w:rPr>
          <w:rFonts w:ascii="Arial" w:eastAsia="Arial" w:hAnsi="Arial" w:cs="Arial"/>
          <w:sz w:val="24"/>
          <w:szCs w:val="24"/>
        </w:rPr>
        <w:lastRenderedPageBreak/>
        <w:t xml:space="preserve">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Ley General de Sociedades y la  IGJ mencionados en el párrafo 1 del presente informe. La RT37 exige que cumpla los requerimientos de ética, así como que planifique y ejecute mi tarea de forma tal que me permita emitir el presente informe de cumplimento. </w:t>
      </w:r>
    </w:p>
    <w:p w14:paraId="00000019" w14:textId="77777777" w:rsidR="00096FB5" w:rsidRDefault="00000000">
      <w:pPr>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0000001A" w14:textId="77777777" w:rsidR="00096FB5" w:rsidRDefault="00096FB5">
      <w:pPr>
        <w:jc w:val="both"/>
        <w:rPr>
          <w:rFonts w:ascii="Arial" w:eastAsia="Arial" w:hAnsi="Arial" w:cs="Arial"/>
          <w:sz w:val="24"/>
          <w:szCs w:val="24"/>
        </w:rPr>
      </w:pPr>
    </w:p>
    <w:p w14:paraId="0000001B" w14:textId="77777777" w:rsidR="00096FB5" w:rsidRDefault="00000000">
      <w:pPr>
        <w:spacing w:before="12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(7)</w:t>
      </w:r>
      <w:r>
        <w:rPr>
          <w:rFonts w:ascii="Arial" w:eastAsia="Arial" w:hAnsi="Arial" w:cs="Arial"/>
          <w:sz w:val="24"/>
          <w:szCs w:val="24"/>
        </w:rPr>
        <w:t>:</w:t>
      </w:r>
    </w:p>
    <w:p w14:paraId="0000001C" w14:textId="77777777" w:rsidR="00096FB5" w:rsidRDefault="00096FB5">
      <w:pPr>
        <w:spacing w:before="120"/>
        <w:jc w:val="both"/>
        <w:rPr>
          <w:rFonts w:ascii="Arial" w:eastAsia="Arial" w:hAnsi="Arial" w:cs="Arial"/>
          <w:sz w:val="24"/>
          <w:szCs w:val="24"/>
        </w:rPr>
      </w:pPr>
    </w:p>
    <w:p w14:paraId="0000001D" w14:textId="77777777" w:rsidR="00096FB5" w:rsidRDefault="00000000">
      <w:pPr>
        <w:numPr>
          <w:ilvl w:val="0"/>
          <w:numId w:val="1"/>
        </w:numPr>
        <w:tabs>
          <w:tab w:val="left" w:pos="851"/>
        </w:tabs>
        <w:ind w:right="48"/>
        <w:jc w:val="both"/>
        <w:rPr>
          <w:rFonts w:ascii="Arial" w:eastAsia="Arial" w:hAnsi="Arial" w:cs="Arial"/>
          <w:sz w:val="24"/>
          <w:szCs w:val="24"/>
        </w:rPr>
      </w:pPr>
      <w:r>
        <w:rPr>
          <w:rFonts w:ascii="Arial" w:eastAsia="Arial" w:hAnsi="Arial" w:cs="Arial"/>
          <w:sz w:val="24"/>
          <w:szCs w:val="24"/>
        </w:rPr>
        <w:t>Verificar que los importes incluidos en la columna “</w:t>
      </w:r>
      <w:r>
        <w:rPr>
          <w:rFonts w:ascii="Arial" w:eastAsia="Arial" w:hAnsi="Arial" w:cs="Arial"/>
          <w:color w:val="0000FF"/>
          <w:sz w:val="24"/>
          <w:szCs w:val="24"/>
        </w:rPr>
        <w:t>…</w:t>
      </w:r>
      <w:r>
        <w:rPr>
          <w:rFonts w:ascii="Arial" w:eastAsia="Arial" w:hAnsi="Arial" w:cs="Arial"/>
          <w:sz w:val="24"/>
          <w:szCs w:val="24"/>
        </w:rPr>
        <w:t xml:space="preserve"> </w:t>
      </w:r>
      <w:r>
        <w:rPr>
          <w:rFonts w:ascii="Arial" w:eastAsia="Arial" w:hAnsi="Arial" w:cs="Arial"/>
          <w:sz w:val="24"/>
          <w:szCs w:val="24"/>
          <w:vertAlign w:val="superscript"/>
        </w:rPr>
        <w:t>(a)</w:t>
      </w:r>
      <w:r>
        <w:rPr>
          <w:rFonts w:ascii="Arial" w:eastAsia="Arial" w:hAnsi="Arial" w:cs="Arial"/>
          <w:sz w:val="24"/>
          <w:szCs w:val="24"/>
        </w:rPr>
        <w:t xml:space="preserve"> antes de la fusión” surjan del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fusión de dicha Sociedad al… de... de… </w:t>
      </w:r>
      <w:r>
        <w:rPr>
          <w:rFonts w:ascii="Arial" w:eastAsia="Arial" w:hAnsi="Arial" w:cs="Arial"/>
          <w:sz w:val="24"/>
          <w:szCs w:val="24"/>
          <w:vertAlign w:val="superscript"/>
        </w:rPr>
        <w:t>(c)</w:t>
      </w:r>
      <w:r>
        <w:rPr>
          <w:rFonts w:ascii="Arial" w:eastAsia="Arial" w:hAnsi="Arial" w:cs="Arial"/>
          <w:sz w:val="24"/>
          <w:szCs w:val="24"/>
        </w:rPr>
        <w:t xml:space="preserve">, preparados de acuerdo con las normas contables profesionales argentinas </w:t>
      </w:r>
      <w:r>
        <w:rPr>
          <w:rFonts w:ascii="Arial" w:eastAsia="Arial" w:hAnsi="Arial" w:cs="Arial"/>
          <w:i/>
          <w:sz w:val="24"/>
          <w:szCs w:val="24"/>
        </w:rPr>
        <w:t>{adecuar según que marco contable utilice la sociedad}</w:t>
      </w:r>
      <w:r>
        <w:rPr>
          <w:rFonts w:ascii="Arial" w:eastAsia="Arial" w:hAnsi="Arial" w:cs="Arial"/>
          <w:sz w:val="24"/>
          <w:szCs w:val="24"/>
        </w:rPr>
        <w:t xml:space="preserve">, transcriptos en el Libro Inventario y Balances N°… de la Sociedad, rubricados el… por… </w:t>
      </w:r>
      <w:r>
        <w:rPr>
          <w:rFonts w:ascii="Arial" w:eastAsia="Arial" w:hAnsi="Arial" w:cs="Arial"/>
          <w:sz w:val="24"/>
          <w:szCs w:val="24"/>
          <w:vertAlign w:val="superscript"/>
        </w:rPr>
        <w:t>(5)</w:t>
      </w:r>
      <w:r>
        <w:rPr>
          <w:rFonts w:ascii="Arial" w:eastAsia="Arial" w:hAnsi="Arial" w:cs="Arial"/>
          <w:sz w:val="24"/>
          <w:szCs w:val="24"/>
        </w:rPr>
        <w:t xml:space="preserve"> bajo el N°…, folios…, aprobados por el acta de Directorio </w:t>
      </w:r>
      <w:r>
        <w:rPr>
          <w:rFonts w:ascii="Arial" w:eastAsia="Arial" w:hAnsi="Arial" w:cs="Arial"/>
          <w:sz w:val="24"/>
          <w:szCs w:val="24"/>
          <w:vertAlign w:val="superscript"/>
        </w:rPr>
        <w:t>(4)</w:t>
      </w:r>
      <w:r>
        <w:rPr>
          <w:rFonts w:ascii="Arial" w:eastAsia="Arial" w:hAnsi="Arial" w:cs="Arial"/>
          <w:sz w:val="24"/>
          <w:szCs w:val="24"/>
        </w:rPr>
        <w:t xml:space="preserve"> de la Sociedad N°… transcripta en el Libro de Actas de Directorio N°… rubricado el…por… </w:t>
      </w:r>
      <w:r>
        <w:rPr>
          <w:rFonts w:ascii="Arial" w:eastAsia="Arial" w:hAnsi="Arial" w:cs="Arial"/>
          <w:sz w:val="24"/>
          <w:szCs w:val="24"/>
          <w:vertAlign w:val="superscript"/>
        </w:rPr>
        <w:t>(5)</w:t>
      </w:r>
      <w:r>
        <w:rPr>
          <w:rFonts w:ascii="Arial" w:eastAsia="Arial" w:hAnsi="Arial" w:cs="Arial"/>
          <w:sz w:val="24"/>
          <w:szCs w:val="24"/>
        </w:rPr>
        <w:t xml:space="preserve"> bajo el N°…, folio…. Sobre dicho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fusión se emitió un informe de auditoría de fecha… sin salvedades </w:t>
      </w:r>
      <w:r>
        <w:rPr>
          <w:rFonts w:ascii="Arial" w:eastAsia="Arial" w:hAnsi="Arial" w:cs="Arial"/>
          <w:i/>
          <w:sz w:val="24"/>
          <w:szCs w:val="24"/>
        </w:rPr>
        <w:t xml:space="preserve">{o “con las siguientes salvedades:..” detallar} </w:t>
      </w:r>
      <w:r>
        <w:rPr>
          <w:rFonts w:ascii="Arial" w:eastAsia="Arial" w:hAnsi="Arial" w:cs="Arial"/>
          <w:sz w:val="24"/>
          <w:szCs w:val="24"/>
        </w:rPr>
        <w:t xml:space="preserve">e informe del órgano fiscalizador </w:t>
      </w:r>
      <w:r>
        <w:rPr>
          <w:rFonts w:ascii="Arial" w:eastAsia="Arial" w:hAnsi="Arial" w:cs="Arial"/>
          <w:sz w:val="24"/>
          <w:szCs w:val="24"/>
          <w:vertAlign w:val="superscript"/>
        </w:rPr>
        <w:t>(8</w:t>
      </w:r>
      <w:r>
        <w:rPr>
          <w:rFonts w:ascii="Arial" w:eastAsia="Arial" w:hAnsi="Arial" w:cs="Arial"/>
          <w:i/>
          <w:sz w:val="24"/>
          <w:szCs w:val="24"/>
          <w:vertAlign w:val="superscript"/>
        </w:rPr>
        <w:t>)</w:t>
      </w:r>
      <w:r>
        <w:rPr>
          <w:rFonts w:ascii="Arial" w:eastAsia="Arial" w:hAnsi="Arial" w:cs="Arial"/>
          <w:sz w:val="24"/>
          <w:szCs w:val="24"/>
        </w:rPr>
        <w:t>.</w:t>
      </w:r>
    </w:p>
    <w:p w14:paraId="0000001E" w14:textId="77777777" w:rsidR="00096FB5" w:rsidRDefault="00000000">
      <w:pPr>
        <w:numPr>
          <w:ilvl w:val="0"/>
          <w:numId w:val="1"/>
        </w:numPr>
        <w:tabs>
          <w:tab w:val="left" w:pos="851"/>
        </w:tabs>
        <w:ind w:right="48"/>
        <w:jc w:val="both"/>
        <w:rPr>
          <w:rFonts w:ascii="Arial" w:eastAsia="Arial" w:hAnsi="Arial" w:cs="Arial"/>
          <w:sz w:val="24"/>
          <w:szCs w:val="24"/>
        </w:rPr>
      </w:pPr>
      <w:r>
        <w:rPr>
          <w:rFonts w:ascii="Arial" w:eastAsia="Arial" w:hAnsi="Arial" w:cs="Arial"/>
          <w:sz w:val="24"/>
          <w:szCs w:val="24"/>
        </w:rPr>
        <w:t xml:space="preserve">Verificar que los importes incluidos en la columna “… </w:t>
      </w:r>
      <w:r>
        <w:rPr>
          <w:rFonts w:ascii="Arial" w:eastAsia="Arial" w:hAnsi="Arial" w:cs="Arial"/>
          <w:sz w:val="24"/>
          <w:szCs w:val="24"/>
          <w:vertAlign w:val="superscript"/>
        </w:rPr>
        <w:t>(b)</w:t>
      </w:r>
      <w:r>
        <w:rPr>
          <w:rFonts w:ascii="Arial" w:eastAsia="Arial" w:hAnsi="Arial" w:cs="Arial"/>
          <w:sz w:val="24"/>
          <w:szCs w:val="24"/>
        </w:rPr>
        <w:t xml:space="preserve"> antes de la fusión” surjan del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fusión de dicha Sociedad al… de… de… </w:t>
      </w:r>
      <w:r>
        <w:rPr>
          <w:rFonts w:ascii="Arial" w:eastAsia="Arial" w:hAnsi="Arial" w:cs="Arial"/>
          <w:sz w:val="24"/>
          <w:szCs w:val="24"/>
          <w:vertAlign w:val="superscript"/>
        </w:rPr>
        <w:t>(c)</w:t>
      </w:r>
      <w:r>
        <w:rPr>
          <w:rFonts w:ascii="Arial" w:eastAsia="Arial" w:hAnsi="Arial" w:cs="Arial"/>
          <w:sz w:val="24"/>
          <w:szCs w:val="24"/>
        </w:rPr>
        <w:t xml:space="preserve">, preparados de acuerdo con las normas contables profesionales argentinas </w:t>
      </w:r>
      <w:r>
        <w:rPr>
          <w:rFonts w:ascii="Arial" w:eastAsia="Arial" w:hAnsi="Arial" w:cs="Arial"/>
          <w:i/>
          <w:sz w:val="24"/>
          <w:szCs w:val="24"/>
        </w:rPr>
        <w:t>{adecuar según que marco contable utilice la Sociedad}</w:t>
      </w:r>
      <w:r>
        <w:rPr>
          <w:rFonts w:ascii="Arial" w:eastAsia="Arial" w:hAnsi="Arial" w:cs="Arial"/>
          <w:sz w:val="24"/>
          <w:szCs w:val="24"/>
        </w:rPr>
        <w:t xml:space="preserve">, transcriptos en el Libro Inventario y Balances N°… de la Sociedad, rubricados el… por… </w:t>
      </w:r>
      <w:r>
        <w:rPr>
          <w:rFonts w:ascii="Arial" w:eastAsia="Arial" w:hAnsi="Arial" w:cs="Arial"/>
          <w:sz w:val="24"/>
          <w:szCs w:val="24"/>
          <w:vertAlign w:val="superscript"/>
        </w:rPr>
        <w:t xml:space="preserve">(5) </w:t>
      </w:r>
      <w:r>
        <w:rPr>
          <w:rFonts w:ascii="Arial" w:eastAsia="Arial" w:hAnsi="Arial" w:cs="Arial"/>
          <w:sz w:val="24"/>
          <w:szCs w:val="24"/>
        </w:rPr>
        <w:t xml:space="preserve">bajo el N°…, folios…, aprobados por el acta de Directorio </w:t>
      </w:r>
      <w:r>
        <w:rPr>
          <w:rFonts w:ascii="Arial" w:eastAsia="Arial" w:hAnsi="Arial" w:cs="Arial"/>
          <w:sz w:val="24"/>
          <w:szCs w:val="24"/>
          <w:vertAlign w:val="superscript"/>
        </w:rPr>
        <w:t>(4)</w:t>
      </w:r>
      <w:r>
        <w:rPr>
          <w:rFonts w:ascii="Arial" w:eastAsia="Arial" w:hAnsi="Arial" w:cs="Arial"/>
          <w:sz w:val="24"/>
          <w:szCs w:val="24"/>
        </w:rPr>
        <w:t xml:space="preserve"> de la Sociedad N°… transcripta en el Libro de Actas de Directorio N°…, rubricado el…por… </w:t>
      </w:r>
      <w:r>
        <w:rPr>
          <w:rFonts w:ascii="Arial" w:eastAsia="Arial" w:hAnsi="Arial" w:cs="Arial"/>
          <w:sz w:val="24"/>
          <w:szCs w:val="24"/>
          <w:vertAlign w:val="superscript"/>
        </w:rPr>
        <w:t>(5)</w:t>
      </w:r>
      <w:r>
        <w:rPr>
          <w:rFonts w:ascii="Arial" w:eastAsia="Arial" w:hAnsi="Arial" w:cs="Arial"/>
          <w:sz w:val="24"/>
          <w:szCs w:val="24"/>
        </w:rPr>
        <w:t xml:space="preserve"> bajo el N°…, folio….Sobre dicho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fusión se emitió un informe de auditoría con fecha…de… de… sin salvedades </w:t>
      </w:r>
      <w:r>
        <w:rPr>
          <w:rFonts w:ascii="Arial" w:eastAsia="Arial" w:hAnsi="Arial" w:cs="Arial"/>
          <w:i/>
          <w:sz w:val="24"/>
          <w:szCs w:val="24"/>
        </w:rPr>
        <w:t xml:space="preserve">{o “con las siguientes salvedades:…” detallar} </w:t>
      </w:r>
      <w:r>
        <w:rPr>
          <w:rFonts w:ascii="Arial" w:eastAsia="Arial" w:hAnsi="Arial" w:cs="Arial"/>
          <w:sz w:val="24"/>
          <w:szCs w:val="24"/>
        </w:rPr>
        <w:t xml:space="preserve">e informe del órgano fiscalizador </w:t>
      </w:r>
      <w:r>
        <w:rPr>
          <w:rFonts w:ascii="Arial" w:eastAsia="Arial" w:hAnsi="Arial" w:cs="Arial"/>
          <w:sz w:val="24"/>
          <w:szCs w:val="24"/>
          <w:vertAlign w:val="superscript"/>
        </w:rPr>
        <w:t>(8)</w:t>
      </w:r>
      <w:r>
        <w:rPr>
          <w:rFonts w:ascii="Arial" w:eastAsia="Arial" w:hAnsi="Arial" w:cs="Arial"/>
          <w:sz w:val="24"/>
          <w:szCs w:val="24"/>
        </w:rPr>
        <w:t>.</w:t>
      </w:r>
    </w:p>
    <w:p w14:paraId="0000001F" w14:textId="77777777" w:rsidR="00096FB5" w:rsidRDefault="00000000">
      <w:pPr>
        <w:numPr>
          <w:ilvl w:val="0"/>
          <w:numId w:val="1"/>
        </w:numPr>
        <w:tabs>
          <w:tab w:val="left" w:pos="851"/>
        </w:tabs>
        <w:ind w:right="48"/>
        <w:jc w:val="both"/>
        <w:rPr>
          <w:rFonts w:ascii="Arial" w:eastAsia="Arial" w:hAnsi="Arial" w:cs="Arial"/>
          <w:sz w:val="24"/>
          <w:szCs w:val="24"/>
        </w:rPr>
      </w:pPr>
      <w:r>
        <w:rPr>
          <w:rFonts w:ascii="Arial" w:eastAsia="Arial" w:hAnsi="Arial" w:cs="Arial"/>
          <w:i/>
          <w:color w:val="0000FF"/>
          <w:sz w:val="24"/>
          <w:szCs w:val="24"/>
        </w:rPr>
        <w:t xml:space="preserve"> </w:t>
      </w:r>
      <w:r>
        <w:rPr>
          <w:rFonts w:ascii="Arial" w:eastAsia="Arial" w:hAnsi="Arial" w:cs="Arial"/>
          <w:sz w:val="24"/>
          <w:szCs w:val="24"/>
        </w:rPr>
        <w:t>Verificar</w:t>
      </w:r>
      <w:r>
        <w:rPr>
          <w:rFonts w:ascii="Arial" w:eastAsia="Arial" w:hAnsi="Arial" w:cs="Arial"/>
          <w:i/>
          <w:color w:val="0000FF"/>
          <w:sz w:val="24"/>
          <w:szCs w:val="24"/>
        </w:rPr>
        <w:t xml:space="preserve"> </w:t>
      </w:r>
      <w:r>
        <w:rPr>
          <w:rFonts w:ascii="Arial" w:eastAsia="Arial" w:hAnsi="Arial" w:cs="Arial"/>
          <w:sz w:val="24"/>
          <w:szCs w:val="24"/>
        </w:rPr>
        <w:t xml:space="preserve">que los importes incluidos en la columna “Ajustes y Eliminaciones” fueron determinados de acuerdo con los criterios y procedimientos de consolidación expuestos en la Nota…. al estado de situación patrimonial </w:t>
      </w:r>
      <w:r>
        <w:rPr>
          <w:rFonts w:ascii="Arial" w:eastAsia="Arial" w:hAnsi="Arial" w:cs="Arial"/>
          <w:i/>
          <w:sz w:val="24"/>
          <w:szCs w:val="24"/>
        </w:rPr>
        <w:t>{o “balance general”}</w:t>
      </w:r>
      <w:r>
        <w:rPr>
          <w:rFonts w:ascii="Arial" w:eastAsia="Arial" w:hAnsi="Arial" w:cs="Arial"/>
          <w:sz w:val="24"/>
          <w:szCs w:val="24"/>
        </w:rPr>
        <w:t xml:space="preserve"> consolidado de fusión</w:t>
      </w:r>
      <w:r>
        <w:rPr>
          <w:rFonts w:ascii="Arial" w:eastAsia="Arial" w:hAnsi="Arial" w:cs="Arial"/>
          <w:color w:val="0000FF"/>
          <w:sz w:val="24"/>
          <w:szCs w:val="24"/>
        </w:rPr>
        <w:t xml:space="preserve"> </w:t>
      </w:r>
      <w:r>
        <w:rPr>
          <w:rFonts w:ascii="Arial" w:eastAsia="Arial" w:hAnsi="Arial" w:cs="Arial"/>
          <w:i/>
          <w:sz w:val="24"/>
          <w:szCs w:val="24"/>
        </w:rPr>
        <w:t>{Incluir este párrafo en caso de corresponder}.</w:t>
      </w:r>
    </w:p>
    <w:p w14:paraId="00000020" w14:textId="77777777" w:rsidR="00096FB5" w:rsidRDefault="00000000">
      <w:pPr>
        <w:numPr>
          <w:ilvl w:val="0"/>
          <w:numId w:val="1"/>
        </w:numPr>
        <w:tabs>
          <w:tab w:val="left" w:pos="851"/>
        </w:tabs>
        <w:ind w:right="48"/>
        <w:jc w:val="both"/>
        <w:rPr>
          <w:rFonts w:ascii="Arial" w:eastAsia="Arial" w:hAnsi="Arial" w:cs="Arial"/>
          <w:sz w:val="24"/>
          <w:szCs w:val="24"/>
        </w:rPr>
      </w:pPr>
      <w:r>
        <w:rPr>
          <w:rFonts w:ascii="Arial" w:eastAsia="Arial" w:hAnsi="Arial" w:cs="Arial"/>
          <w:sz w:val="24"/>
          <w:szCs w:val="24"/>
        </w:rPr>
        <w:t xml:space="preserve">Verificar que la columna “… </w:t>
      </w:r>
      <w:r>
        <w:rPr>
          <w:rFonts w:ascii="Arial" w:eastAsia="Arial" w:hAnsi="Arial" w:cs="Arial"/>
          <w:sz w:val="24"/>
          <w:szCs w:val="24"/>
          <w:vertAlign w:val="superscript"/>
        </w:rPr>
        <w:t>(a)</w:t>
      </w:r>
      <w:r>
        <w:rPr>
          <w:rFonts w:ascii="Arial" w:eastAsia="Arial" w:hAnsi="Arial" w:cs="Arial"/>
          <w:sz w:val="24"/>
          <w:szCs w:val="24"/>
        </w:rPr>
        <w:t xml:space="preserve"> después de la fusión” surja de la suma aritmética de las columnas “…</w:t>
      </w:r>
      <w:r>
        <w:rPr>
          <w:rFonts w:ascii="Arial" w:eastAsia="Arial" w:hAnsi="Arial" w:cs="Arial"/>
          <w:sz w:val="24"/>
          <w:szCs w:val="24"/>
          <w:vertAlign w:val="superscript"/>
        </w:rPr>
        <w:t xml:space="preserve"> (a)</w:t>
      </w:r>
      <w:r>
        <w:rPr>
          <w:rFonts w:ascii="Arial" w:eastAsia="Arial" w:hAnsi="Arial" w:cs="Arial"/>
          <w:sz w:val="24"/>
          <w:szCs w:val="24"/>
        </w:rPr>
        <w:t xml:space="preserve"> antes de la fusión”, “… </w:t>
      </w:r>
      <w:r>
        <w:rPr>
          <w:rFonts w:ascii="Arial" w:eastAsia="Arial" w:hAnsi="Arial" w:cs="Arial"/>
          <w:sz w:val="24"/>
          <w:szCs w:val="24"/>
          <w:vertAlign w:val="superscript"/>
        </w:rPr>
        <w:t>(b)</w:t>
      </w:r>
      <w:r>
        <w:rPr>
          <w:rFonts w:ascii="Arial" w:eastAsia="Arial" w:hAnsi="Arial" w:cs="Arial"/>
          <w:sz w:val="24"/>
          <w:szCs w:val="24"/>
        </w:rPr>
        <w:t xml:space="preserve"> antes de la fusión” y “Ajustes y Eliminaciones” </w:t>
      </w:r>
      <w:r>
        <w:rPr>
          <w:rFonts w:ascii="Arial" w:eastAsia="Arial" w:hAnsi="Arial" w:cs="Arial"/>
          <w:i/>
          <w:sz w:val="24"/>
          <w:szCs w:val="24"/>
        </w:rPr>
        <w:t>{en caso de corresponder}</w:t>
      </w:r>
      <w:r>
        <w:rPr>
          <w:rFonts w:ascii="Arial" w:eastAsia="Arial" w:hAnsi="Arial" w:cs="Arial"/>
          <w:sz w:val="24"/>
          <w:szCs w:val="24"/>
        </w:rPr>
        <w:t>.</w:t>
      </w:r>
    </w:p>
    <w:p w14:paraId="00000021" w14:textId="77777777" w:rsidR="00096FB5" w:rsidRDefault="00000000">
      <w:pPr>
        <w:numPr>
          <w:ilvl w:val="0"/>
          <w:numId w:val="1"/>
        </w:numPr>
        <w:tabs>
          <w:tab w:val="left" w:pos="720"/>
          <w:tab w:val="left" w:pos="1080"/>
        </w:tabs>
        <w:ind w:left="714" w:hanging="357"/>
        <w:jc w:val="both"/>
        <w:rPr>
          <w:rFonts w:ascii="Arial" w:eastAsia="Arial" w:hAnsi="Arial" w:cs="Arial"/>
          <w:sz w:val="24"/>
          <w:szCs w:val="24"/>
        </w:rPr>
      </w:pPr>
      <w:r>
        <w:rPr>
          <w:rFonts w:ascii="Arial" w:eastAsia="Arial" w:hAnsi="Arial" w:cs="Arial"/>
          <w:sz w:val="24"/>
          <w:szCs w:val="24"/>
        </w:rPr>
        <w:lastRenderedPageBreak/>
        <w:t>Verificar que el capital social después de la fusión haya sido determinado sobre la base de la relación de canje que se describe en la Nota… y se incluye en el Compromiso Previo de Fusión de fecha…, aprobado por los Directorios de las Sociedades</w:t>
      </w:r>
      <w:r>
        <w:rPr>
          <w:rFonts w:ascii="Arial" w:eastAsia="Arial" w:hAnsi="Arial" w:cs="Arial"/>
          <w:i/>
          <w:sz w:val="22"/>
          <w:szCs w:val="22"/>
        </w:rPr>
        <w:t xml:space="preserve"> {en caso de corresponder}</w:t>
      </w:r>
      <w:r>
        <w:rPr>
          <w:rFonts w:ascii="Arial" w:eastAsia="Arial" w:hAnsi="Arial" w:cs="Arial"/>
          <w:sz w:val="24"/>
          <w:szCs w:val="24"/>
        </w:rPr>
        <w:t>.</w:t>
      </w:r>
    </w:p>
    <w:p w14:paraId="00000022" w14:textId="77777777" w:rsidR="00096FB5" w:rsidRDefault="00000000">
      <w:pPr>
        <w:numPr>
          <w:ilvl w:val="0"/>
          <w:numId w:val="1"/>
        </w:numPr>
        <w:tabs>
          <w:tab w:val="left" w:pos="720"/>
          <w:tab w:val="left" w:pos="1080"/>
        </w:tabs>
        <w:ind w:left="714" w:hanging="357"/>
        <w:jc w:val="both"/>
        <w:rPr>
          <w:rFonts w:ascii="Arial" w:eastAsia="Arial" w:hAnsi="Arial" w:cs="Arial"/>
          <w:sz w:val="24"/>
          <w:szCs w:val="24"/>
        </w:rPr>
      </w:pPr>
      <w:r>
        <w:rPr>
          <w:rFonts w:ascii="Arial" w:eastAsia="Arial" w:hAnsi="Arial" w:cs="Arial"/>
          <w:sz w:val="24"/>
          <w:szCs w:val="24"/>
        </w:rPr>
        <w:t xml:space="preserve">Comprobar los cálculos aritméticos correspondientes </w:t>
      </w:r>
      <w:r>
        <w:rPr>
          <w:rFonts w:ascii="Arial" w:eastAsia="Arial" w:hAnsi="Arial" w:cs="Arial"/>
          <w:i/>
          <w:sz w:val="22"/>
          <w:szCs w:val="22"/>
        </w:rPr>
        <w:t>{en caso de corresponder}</w:t>
      </w:r>
      <w:r>
        <w:rPr>
          <w:rFonts w:ascii="Arial" w:eastAsia="Arial" w:hAnsi="Arial" w:cs="Arial"/>
          <w:sz w:val="24"/>
          <w:szCs w:val="24"/>
        </w:rPr>
        <w:t>.</w:t>
      </w:r>
    </w:p>
    <w:p w14:paraId="00000023" w14:textId="77777777" w:rsidR="00096FB5" w:rsidRDefault="00096FB5">
      <w:pPr>
        <w:rPr>
          <w:rFonts w:ascii="Arial" w:eastAsia="Arial" w:hAnsi="Arial" w:cs="Arial"/>
          <w:sz w:val="24"/>
          <w:szCs w:val="24"/>
        </w:rPr>
      </w:pPr>
    </w:p>
    <w:p w14:paraId="00000024" w14:textId="77777777" w:rsidR="00096FB5" w:rsidRDefault="00000000">
      <w:pPr>
        <w:numPr>
          <w:ilvl w:val="0"/>
          <w:numId w:val="2"/>
        </w:numPr>
        <w:tabs>
          <w:tab w:val="left" w:pos="-720"/>
        </w:tabs>
        <w:ind w:left="284" w:hanging="284"/>
        <w:rPr>
          <w:rFonts w:ascii="Arial" w:eastAsia="Arial" w:hAnsi="Arial" w:cs="Arial"/>
          <w:b/>
          <w:sz w:val="24"/>
          <w:szCs w:val="24"/>
        </w:rPr>
      </w:pPr>
      <w:r>
        <w:rPr>
          <w:rFonts w:ascii="Arial" w:eastAsia="Arial" w:hAnsi="Arial" w:cs="Arial"/>
          <w:b/>
          <w:sz w:val="24"/>
          <w:szCs w:val="24"/>
        </w:rPr>
        <w:t>Manifestación profesional</w:t>
      </w:r>
    </w:p>
    <w:p w14:paraId="00000025" w14:textId="77777777" w:rsidR="00096FB5" w:rsidRDefault="00096FB5">
      <w:pPr>
        <w:tabs>
          <w:tab w:val="left" w:pos="-720"/>
        </w:tabs>
        <w:rPr>
          <w:rFonts w:ascii="Arial" w:eastAsia="Arial" w:hAnsi="Arial" w:cs="Arial"/>
          <w:b/>
          <w:sz w:val="24"/>
          <w:szCs w:val="24"/>
        </w:rPr>
      </w:pPr>
    </w:p>
    <w:p w14:paraId="00000026" w14:textId="77777777" w:rsidR="00096FB5" w:rsidRDefault="00000000">
      <w:pPr>
        <w:tabs>
          <w:tab w:val="left" w:pos="851"/>
        </w:tabs>
        <w:ind w:right="48"/>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el artículo 83 inciso 4.d) de la Sección XI de la Ley General de Sociedades N° 19.550 y por las normas de IGJ en relación con el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consolidado de fusión </w:t>
      </w:r>
      <w:r>
        <w:rPr>
          <w:rFonts w:ascii="Arial" w:eastAsia="Arial" w:hAnsi="Arial" w:cs="Arial"/>
          <w:sz w:val="24"/>
          <w:szCs w:val="24"/>
          <w:vertAlign w:val="superscript"/>
        </w:rPr>
        <w:t>(6)</w:t>
      </w:r>
      <w:r>
        <w:rPr>
          <w:rFonts w:ascii="Arial" w:eastAsia="Arial" w:hAnsi="Arial" w:cs="Arial"/>
          <w:sz w:val="24"/>
          <w:szCs w:val="24"/>
        </w:rPr>
        <w:t>.</w:t>
      </w:r>
    </w:p>
    <w:p w14:paraId="00000027" w14:textId="77777777" w:rsidR="00096FB5" w:rsidRDefault="00096FB5">
      <w:pPr>
        <w:tabs>
          <w:tab w:val="left" w:pos="851"/>
        </w:tabs>
        <w:ind w:right="48"/>
        <w:jc w:val="both"/>
        <w:rPr>
          <w:rFonts w:ascii="Arial" w:eastAsia="Arial" w:hAnsi="Arial" w:cs="Arial"/>
          <w:sz w:val="24"/>
          <w:szCs w:val="24"/>
        </w:rPr>
      </w:pPr>
    </w:p>
    <w:p w14:paraId="00000028" w14:textId="77777777" w:rsidR="00096FB5" w:rsidRDefault="00000000">
      <w:pPr>
        <w:jc w:val="both"/>
        <w:rPr>
          <w:rFonts w:ascii="Arial" w:eastAsia="Arial" w:hAnsi="Arial" w:cs="Arial"/>
          <w:color w:val="000000"/>
          <w:sz w:val="24"/>
          <w:szCs w:val="24"/>
        </w:rPr>
      </w:pPr>
      <w:r>
        <w:rPr>
          <w:rFonts w:ascii="Arial" w:eastAsia="Arial" w:hAnsi="Arial" w:cs="Arial"/>
          <w:sz w:val="24"/>
          <w:szCs w:val="24"/>
        </w:rPr>
        <w:t xml:space="preserve">Adicionalmente, </w:t>
      </w:r>
      <w:r>
        <w:rPr>
          <w:rFonts w:ascii="Arial" w:eastAsia="Arial" w:hAnsi="Arial" w:cs="Arial"/>
          <w:color w:val="000000"/>
          <w:sz w:val="24"/>
          <w:szCs w:val="24"/>
        </w:rPr>
        <w:t>en cumplimiento de disposiciones vigentes informo que:</w:t>
      </w:r>
    </w:p>
    <w:p w14:paraId="00000029" w14:textId="77777777" w:rsidR="00096FB5" w:rsidRDefault="00096FB5">
      <w:pPr>
        <w:jc w:val="both"/>
        <w:rPr>
          <w:rFonts w:ascii="Arial" w:eastAsia="Arial" w:hAnsi="Arial" w:cs="Arial"/>
          <w:sz w:val="24"/>
          <w:szCs w:val="24"/>
        </w:rPr>
      </w:pPr>
    </w:p>
    <w:p w14:paraId="0000002A" w14:textId="77777777" w:rsidR="00096FB5"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El 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consolidado de fusión de las Sociedades al… de… de… se encuentra transcripto en…</w:t>
      </w:r>
    </w:p>
    <w:p w14:paraId="0000002B" w14:textId="77777777" w:rsidR="00096FB5"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Al… de… de…, la deuda consolidada </w:t>
      </w:r>
      <w:r>
        <w:rPr>
          <w:rFonts w:ascii="Arial" w:eastAsia="Arial" w:hAnsi="Arial" w:cs="Arial"/>
          <w:color w:val="000000"/>
          <w:sz w:val="24"/>
          <w:szCs w:val="24"/>
        </w:rPr>
        <w:t>devengada en concepto de aportes y contribuciones con destino al Sistema Integrado Previsional Argentino</w:t>
      </w:r>
      <w:r>
        <w:rPr>
          <w:rFonts w:ascii="Arial" w:eastAsia="Arial" w:hAnsi="Arial" w:cs="Arial"/>
          <w:sz w:val="24"/>
          <w:szCs w:val="24"/>
        </w:rPr>
        <w:t>, que surge de los respectivos registros contables de las Sociedades, asciende en conjunto a $..., no siendo exigible a dicha fecha.</w:t>
      </w:r>
    </w:p>
    <w:p w14:paraId="0000002C" w14:textId="77777777" w:rsidR="00096FB5" w:rsidRDefault="00096FB5">
      <w:pPr>
        <w:rPr>
          <w:rFonts w:ascii="Arial" w:eastAsia="Arial" w:hAnsi="Arial" w:cs="Arial"/>
          <w:b/>
          <w:sz w:val="24"/>
          <w:szCs w:val="24"/>
        </w:rPr>
      </w:pPr>
    </w:p>
    <w:p w14:paraId="0000002D" w14:textId="77777777" w:rsidR="00096FB5" w:rsidRDefault="00000000">
      <w:pPr>
        <w:numPr>
          <w:ilvl w:val="0"/>
          <w:numId w:val="2"/>
        </w:numPr>
        <w:ind w:left="284" w:hanging="284"/>
        <w:rPr>
          <w:rFonts w:ascii="Arial" w:eastAsia="Arial" w:hAnsi="Arial" w:cs="Arial"/>
          <w:b/>
          <w:sz w:val="24"/>
          <w:szCs w:val="24"/>
        </w:rPr>
      </w:pPr>
      <w:r>
        <w:rPr>
          <w:rFonts w:ascii="Arial" w:eastAsia="Arial" w:hAnsi="Arial" w:cs="Arial"/>
          <w:b/>
          <w:sz w:val="24"/>
          <w:szCs w:val="24"/>
        </w:rPr>
        <w:t>Restricción de uso del informe de cumplimiento</w:t>
      </w:r>
    </w:p>
    <w:p w14:paraId="0000002E" w14:textId="77777777" w:rsidR="00096FB5" w:rsidRDefault="00096FB5">
      <w:pPr>
        <w:tabs>
          <w:tab w:val="left" w:pos="-720"/>
        </w:tabs>
        <w:rPr>
          <w:rFonts w:ascii="Arial" w:eastAsia="Arial" w:hAnsi="Arial" w:cs="Arial"/>
          <w:b/>
          <w:sz w:val="24"/>
          <w:szCs w:val="24"/>
        </w:rPr>
      </w:pPr>
    </w:p>
    <w:p w14:paraId="0000002F" w14:textId="77777777" w:rsidR="00096FB5" w:rsidRDefault="00000000">
      <w:pPr>
        <w:tabs>
          <w:tab w:val="left" w:pos="851"/>
        </w:tabs>
        <w:ind w:right="48"/>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por las normas de dicho organismo y por la Ley General de Sociedades N° 19.550 para la inscripción del trámite de fusión de sociedades mencionado en el párrafo 1 y, por lo tanto, no debe ser utilizado, hacerse referencia a él o ser distribuido con ningún otro propósito.</w:t>
      </w:r>
    </w:p>
    <w:p w14:paraId="00000030" w14:textId="77777777" w:rsidR="00096FB5" w:rsidRDefault="00096FB5">
      <w:pPr>
        <w:tabs>
          <w:tab w:val="left" w:pos="851"/>
        </w:tabs>
        <w:ind w:right="48"/>
        <w:rPr>
          <w:rFonts w:ascii="Arial" w:eastAsia="Arial" w:hAnsi="Arial" w:cs="Arial"/>
          <w:sz w:val="24"/>
          <w:szCs w:val="24"/>
        </w:rPr>
      </w:pPr>
    </w:p>
    <w:p w14:paraId="00000031" w14:textId="77777777" w:rsidR="00096FB5" w:rsidRDefault="00096FB5">
      <w:pPr>
        <w:tabs>
          <w:tab w:val="left" w:pos="851"/>
        </w:tabs>
        <w:ind w:right="48"/>
        <w:rPr>
          <w:rFonts w:ascii="Arial" w:eastAsia="Arial" w:hAnsi="Arial" w:cs="Arial"/>
          <w:sz w:val="24"/>
          <w:szCs w:val="24"/>
        </w:rPr>
      </w:pPr>
    </w:p>
    <w:p w14:paraId="00000032" w14:textId="77777777" w:rsidR="00096FB5" w:rsidRDefault="00000000">
      <w:pPr>
        <w:rPr>
          <w:rFonts w:ascii="Arial" w:eastAsia="Arial" w:hAnsi="Arial" w:cs="Arial"/>
          <w:sz w:val="24"/>
          <w:szCs w:val="24"/>
        </w:rPr>
      </w:pPr>
      <w:r>
        <w:rPr>
          <w:rFonts w:ascii="Arial" w:eastAsia="Arial" w:hAnsi="Arial" w:cs="Arial"/>
          <w:sz w:val="24"/>
          <w:szCs w:val="24"/>
        </w:rPr>
        <w:t>Lugar y fecha</w:t>
      </w:r>
    </w:p>
    <w:p w14:paraId="00000033" w14:textId="77777777" w:rsidR="00096FB5" w:rsidRDefault="00096FB5">
      <w:pPr>
        <w:tabs>
          <w:tab w:val="left" w:pos="-720"/>
          <w:tab w:val="left" w:pos="0"/>
          <w:tab w:val="left" w:pos="487"/>
          <w:tab w:val="left" w:pos="862"/>
        </w:tabs>
        <w:jc w:val="both"/>
        <w:rPr>
          <w:rFonts w:ascii="Arial" w:eastAsia="Arial" w:hAnsi="Arial" w:cs="Arial"/>
          <w:sz w:val="24"/>
          <w:szCs w:val="24"/>
        </w:rPr>
      </w:pPr>
    </w:p>
    <w:p w14:paraId="00000034" w14:textId="77777777" w:rsidR="00096FB5" w:rsidRDefault="00096FB5">
      <w:pPr>
        <w:tabs>
          <w:tab w:val="left" w:pos="-720"/>
          <w:tab w:val="left" w:pos="0"/>
          <w:tab w:val="left" w:pos="487"/>
          <w:tab w:val="left" w:pos="862"/>
        </w:tabs>
        <w:jc w:val="both"/>
        <w:rPr>
          <w:rFonts w:ascii="Arial" w:eastAsia="Arial" w:hAnsi="Arial" w:cs="Arial"/>
          <w:sz w:val="24"/>
          <w:szCs w:val="24"/>
        </w:rPr>
      </w:pPr>
    </w:p>
    <w:p w14:paraId="00000035" w14:textId="77777777" w:rsidR="00096FB5" w:rsidRDefault="00000000">
      <w:pPr>
        <w:pBdr>
          <w:bottom w:val="single" w:sz="6" w:space="1" w:color="000000"/>
        </w:pBdr>
        <w:tabs>
          <w:tab w:val="center" w:pos="0"/>
          <w:tab w:val="left" w:pos="720"/>
        </w:tabs>
        <w:jc w:val="both"/>
        <w:rPr>
          <w:rFonts w:ascii="Arial" w:eastAsia="Arial" w:hAnsi="Arial" w:cs="Arial"/>
          <w:sz w:val="24"/>
          <w:szCs w:val="24"/>
        </w:rPr>
      </w:pPr>
      <w:r>
        <w:rPr>
          <w:rFonts w:ascii="Arial" w:eastAsia="Arial" w:hAnsi="Arial" w:cs="Arial"/>
          <w:sz w:val="24"/>
          <w:szCs w:val="24"/>
        </w:rPr>
        <w:t>[Firma del profesional]</w:t>
      </w:r>
    </w:p>
    <w:p w14:paraId="00000036" w14:textId="77777777" w:rsidR="00096FB5" w:rsidRDefault="00096FB5">
      <w:pPr>
        <w:pBdr>
          <w:bottom w:val="single" w:sz="6" w:space="1" w:color="000000"/>
        </w:pBdr>
        <w:tabs>
          <w:tab w:val="center" w:pos="0"/>
          <w:tab w:val="left" w:pos="720"/>
        </w:tabs>
        <w:jc w:val="both"/>
        <w:rPr>
          <w:rFonts w:ascii="Arial" w:eastAsia="Arial" w:hAnsi="Arial" w:cs="Arial"/>
          <w:sz w:val="24"/>
          <w:szCs w:val="24"/>
        </w:rPr>
      </w:pPr>
    </w:p>
    <w:p w14:paraId="00000037" w14:textId="77777777" w:rsidR="00096FB5" w:rsidRDefault="00096FB5">
      <w:pPr>
        <w:pBdr>
          <w:bottom w:val="single" w:sz="6" w:space="1" w:color="000000"/>
        </w:pBdr>
        <w:tabs>
          <w:tab w:val="center" w:pos="0"/>
          <w:tab w:val="left" w:pos="720"/>
        </w:tabs>
        <w:jc w:val="both"/>
        <w:rPr>
          <w:rFonts w:ascii="Arial" w:eastAsia="Arial" w:hAnsi="Arial" w:cs="Arial"/>
          <w:sz w:val="24"/>
          <w:szCs w:val="24"/>
        </w:rPr>
      </w:pPr>
    </w:p>
    <w:p w14:paraId="00000038" w14:textId="77777777" w:rsidR="00096FB5" w:rsidRDefault="00096FB5">
      <w:pPr>
        <w:jc w:val="both"/>
        <w:rPr>
          <w:rFonts w:ascii="Arial" w:eastAsia="Arial" w:hAnsi="Arial" w:cs="Arial"/>
          <w:sz w:val="24"/>
          <w:szCs w:val="24"/>
        </w:rPr>
      </w:pPr>
    </w:p>
    <w:p w14:paraId="00000039" w14:textId="77777777" w:rsidR="00096FB5"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0000003A" w14:textId="77777777" w:rsidR="00096FB5" w:rsidRDefault="00096FB5">
      <w:pPr>
        <w:tabs>
          <w:tab w:val="left" w:pos="-720"/>
        </w:tabs>
        <w:spacing w:line="229" w:lineRule="auto"/>
        <w:ind w:left="720"/>
        <w:jc w:val="both"/>
        <w:rPr>
          <w:rFonts w:ascii="Arial" w:eastAsia="Arial" w:hAnsi="Arial" w:cs="Arial"/>
          <w:sz w:val="24"/>
          <w:szCs w:val="24"/>
        </w:rPr>
      </w:pPr>
    </w:p>
    <w:p w14:paraId="0000003B" w14:textId="77777777" w:rsidR="00096FB5" w:rsidRDefault="00000000">
      <w:pPr>
        <w:tabs>
          <w:tab w:val="left" w:pos="-720"/>
        </w:tabs>
        <w:spacing w:line="229" w:lineRule="auto"/>
        <w:ind w:left="284" w:hanging="284"/>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vertAlign w:val="subscript"/>
        </w:rPr>
        <w:t xml:space="preserve"> </w:t>
      </w:r>
      <w:r>
        <w:rPr>
          <w:rFonts w:ascii="Arial" w:eastAsia="Arial" w:hAnsi="Arial" w:cs="Arial"/>
          <w:sz w:val="24"/>
          <w:szCs w:val="24"/>
        </w:rPr>
        <w:t>Denominación de la Sociedad absorbente o de la nueva Sociedad constituida.</w:t>
      </w:r>
    </w:p>
    <w:p w14:paraId="0000003C" w14:textId="77777777" w:rsidR="00096FB5" w:rsidRDefault="00096FB5">
      <w:pPr>
        <w:tabs>
          <w:tab w:val="left" w:pos="-720"/>
        </w:tabs>
        <w:spacing w:line="229" w:lineRule="auto"/>
        <w:ind w:left="284" w:hanging="284"/>
        <w:jc w:val="both"/>
        <w:rPr>
          <w:rFonts w:ascii="Arial" w:eastAsia="Arial" w:hAnsi="Arial" w:cs="Arial"/>
          <w:sz w:val="24"/>
          <w:szCs w:val="24"/>
        </w:rPr>
      </w:pPr>
    </w:p>
    <w:p w14:paraId="0000003D" w14:textId="77777777" w:rsidR="00096FB5" w:rsidRDefault="00000000">
      <w:pPr>
        <w:tabs>
          <w:tab w:val="left" w:pos="-720"/>
        </w:tabs>
        <w:spacing w:line="229" w:lineRule="auto"/>
        <w:ind w:left="284" w:hanging="284"/>
        <w:jc w:val="both"/>
        <w:rPr>
          <w:rFonts w:ascii="Arial" w:eastAsia="Arial" w:hAnsi="Arial" w:cs="Arial"/>
          <w:i/>
          <w:sz w:val="24"/>
          <w:szCs w:val="24"/>
        </w:rPr>
      </w:pPr>
      <w:r>
        <w:rPr>
          <w:rFonts w:ascii="Arial" w:eastAsia="Arial" w:hAnsi="Arial" w:cs="Arial"/>
          <w:sz w:val="24"/>
          <w:szCs w:val="24"/>
          <w:vertAlign w:val="superscript"/>
        </w:rPr>
        <w:t xml:space="preserve">(b) </w:t>
      </w:r>
      <w:r>
        <w:rPr>
          <w:rFonts w:ascii="Arial" w:eastAsia="Arial" w:hAnsi="Arial" w:cs="Arial"/>
          <w:sz w:val="24"/>
          <w:szCs w:val="24"/>
        </w:rPr>
        <w:t xml:space="preserve">Denominación de la Sociedad absorbida </w:t>
      </w:r>
      <w:r>
        <w:rPr>
          <w:rFonts w:ascii="Arial" w:eastAsia="Arial" w:hAnsi="Arial" w:cs="Arial"/>
          <w:i/>
          <w:sz w:val="24"/>
          <w:szCs w:val="24"/>
        </w:rPr>
        <w:t>{agregar tantas sociedades como se fusionan}.</w:t>
      </w:r>
    </w:p>
    <w:p w14:paraId="0000003E" w14:textId="77777777" w:rsidR="00096FB5" w:rsidRDefault="00096FB5">
      <w:pPr>
        <w:jc w:val="both"/>
        <w:rPr>
          <w:rFonts w:ascii="Arial" w:eastAsia="Arial" w:hAnsi="Arial" w:cs="Arial"/>
          <w:sz w:val="24"/>
          <w:szCs w:val="24"/>
          <w:vertAlign w:val="superscript"/>
        </w:rPr>
      </w:pPr>
    </w:p>
    <w:p w14:paraId="0000003F" w14:textId="77777777" w:rsidR="00096FB5" w:rsidRDefault="00000000">
      <w:pPr>
        <w:pStyle w:val="Heading1"/>
        <w:jc w:val="center"/>
        <w:rPr>
          <w:rFonts w:ascii="Arial" w:eastAsia="Arial" w:hAnsi="Arial" w:cs="Arial"/>
          <w:u w:val="single"/>
        </w:rPr>
      </w:pPr>
      <w:r>
        <w:rPr>
          <w:rFonts w:ascii="Arial" w:eastAsia="Arial" w:hAnsi="Arial" w:cs="Arial"/>
          <w:b w:val="0"/>
          <w:vertAlign w:val="superscript"/>
        </w:rPr>
        <w:lastRenderedPageBreak/>
        <w:t>(c)</w:t>
      </w:r>
      <w:r>
        <w:rPr>
          <w:rFonts w:ascii="Arial" w:eastAsia="Arial" w:hAnsi="Arial" w:cs="Arial"/>
          <w:b w:val="0"/>
        </w:rPr>
        <w:t xml:space="preserve"> Fecha de los estados contables utilizados a los fines de la fusión.</w:t>
      </w:r>
    </w:p>
    <w:p w14:paraId="00000040" w14:textId="77777777" w:rsidR="00096FB5" w:rsidRDefault="00096FB5">
      <w:pPr>
        <w:tabs>
          <w:tab w:val="left" w:pos="-720"/>
          <w:tab w:val="left" w:pos="0"/>
          <w:tab w:val="left" w:pos="487"/>
          <w:tab w:val="left" w:pos="862"/>
        </w:tabs>
        <w:jc w:val="both"/>
        <w:rPr>
          <w:rFonts w:ascii="Arial" w:eastAsia="Arial" w:hAnsi="Arial" w:cs="Arial"/>
          <w:sz w:val="24"/>
          <w:szCs w:val="24"/>
        </w:rPr>
      </w:pPr>
    </w:p>
    <w:p w14:paraId="00000041" w14:textId="77777777" w:rsidR="00096FB5" w:rsidRDefault="00096FB5">
      <w:pPr>
        <w:tabs>
          <w:tab w:val="left" w:pos="-720"/>
          <w:tab w:val="left" w:pos="0"/>
          <w:tab w:val="left" w:pos="487"/>
          <w:tab w:val="left" w:pos="862"/>
        </w:tabs>
        <w:jc w:val="both"/>
        <w:rPr>
          <w:rFonts w:ascii="Arial" w:eastAsia="Arial" w:hAnsi="Arial" w:cs="Arial"/>
          <w:sz w:val="24"/>
          <w:szCs w:val="24"/>
        </w:rPr>
      </w:pPr>
    </w:p>
    <w:p w14:paraId="00000042" w14:textId="77777777" w:rsidR="00096FB5" w:rsidRDefault="00000000">
      <w:pPr>
        <w:tabs>
          <w:tab w:val="left" w:pos="-720"/>
          <w:tab w:val="left" w:pos="142"/>
          <w:tab w:val="left" w:pos="426"/>
          <w:tab w:val="left" w:pos="862"/>
        </w:tabs>
        <w:jc w:val="both"/>
        <w:rPr>
          <w:rFonts w:ascii="Arial" w:eastAsia="Arial" w:hAnsi="Arial" w:cs="Arial"/>
          <w:sz w:val="24"/>
          <w:szCs w:val="24"/>
          <w:u w:val="single"/>
        </w:rPr>
      </w:pPr>
      <w:r>
        <w:tab/>
      </w:r>
      <w:r>
        <w:rPr>
          <w:rFonts w:ascii="Arial" w:eastAsia="Arial" w:hAnsi="Arial" w:cs="Arial"/>
          <w:sz w:val="24"/>
          <w:szCs w:val="24"/>
          <w:u w:val="single"/>
        </w:rPr>
        <w:t>Referencias:</w:t>
      </w:r>
    </w:p>
    <w:p w14:paraId="00000043" w14:textId="77777777" w:rsidR="00096FB5" w:rsidRDefault="00096FB5">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00000044" w14:textId="77777777" w:rsidR="00096FB5"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00000045" w14:textId="77777777" w:rsidR="00096FB5" w:rsidRDefault="00096FB5">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00000046" w14:textId="77777777" w:rsidR="00096FB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00000047" w14:textId="77777777" w:rsidR="00096FB5" w:rsidRDefault="00096FB5">
      <w:pPr>
        <w:tabs>
          <w:tab w:val="left" w:pos="-720"/>
          <w:tab w:val="left" w:pos="0"/>
          <w:tab w:val="left" w:pos="426"/>
          <w:tab w:val="left" w:pos="862"/>
        </w:tabs>
        <w:jc w:val="both"/>
        <w:rPr>
          <w:rFonts w:ascii="Arial" w:eastAsia="Arial" w:hAnsi="Arial" w:cs="Arial"/>
          <w:sz w:val="24"/>
          <w:szCs w:val="24"/>
          <w:vertAlign w:val="superscript"/>
        </w:rPr>
      </w:pPr>
    </w:p>
    <w:p w14:paraId="00000048" w14:textId="77777777" w:rsidR="00096FB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00000049" w14:textId="77777777" w:rsidR="00096FB5" w:rsidRDefault="00096FB5">
      <w:pPr>
        <w:tabs>
          <w:tab w:val="left" w:pos="-720"/>
          <w:tab w:val="left" w:pos="426"/>
          <w:tab w:val="left" w:pos="862"/>
        </w:tabs>
        <w:ind w:left="426" w:hanging="426"/>
        <w:jc w:val="both"/>
        <w:rPr>
          <w:rFonts w:ascii="Arial" w:eastAsia="Arial" w:hAnsi="Arial" w:cs="Arial"/>
          <w:sz w:val="24"/>
          <w:szCs w:val="24"/>
          <w:vertAlign w:val="superscript"/>
        </w:rPr>
      </w:pPr>
    </w:p>
    <w:p w14:paraId="0000004A" w14:textId="77777777" w:rsidR="00096FB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0000004B" w14:textId="77777777" w:rsidR="00096FB5" w:rsidRDefault="00096FB5">
      <w:pPr>
        <w:tabs>
          <w:tab w:val="left" w:pos="-720"/>
          <w:tab w:val="left" w:pos="426"/>
          <w:tab w:val="left" w:pos="862"/>
        </w:tabs>
        <w:ind w:left="426" w:hanging="426"/>
        <w:jc w:val="both"/>
        <w:rPr>
          <w:rFonts w:ascii="Arial" w:eastAsia="Arial" w:hAnsi="Arial" w:cs="Arial"/>
          <w:sz w:val="24"/>
          <w:szCs w:val="24"/>
          <w:vertAlign w:val="superscript"/>
        </w:rPr>
      </w:pPr>
    </w:p>
    <w:p w14:paraId="0000004C" w14:textId="77777777" w:rsidR="00096FB5"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0000004D" w14:textId="77777777" w:rsidR="00096FB5" w:rsidRDefault="00096FB5">
      <w:pPr>
        <w:tabs>
          <w:tab w:val="left" w:pos="-720"/>
          <w:tab w:val="left" w:pos="426"/>
          <w:tab w:val="left" w:pos="862"/>
        </w:tabs>
        <w:jc w:val="both"/>
        <w:rPr>
          <w:rFonts w:ascii="Arial" w:eastAsia="Arial" w:hAnsi="Arial" w:cs="Arial"/>
          <w:sz w:val="24"/>
          <w:szCs w:val="24"/>
          <w:vertAlign w:val="superscript"/>
        </w:rPr>
      </w:pPr>
    </w:p>
    <w:p w14:paraId="0000004E" w14:textId="77777777" w:rsidR="00096FB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rPr>
        <w:tab/>
        <w:t>De existir, agregar “excepto por las siguientes observaciones (o excepciones)” y detallar a continuación.</w:t>
      </w:r>
    </w:p>
    <w:p w14:paraId="0000004F" w14:textId="77777777" w:rsidR="00096FB5" w:rsidRDefault="00096FB5">
      <w:pPr>
        <w:tabs>
          <w:tab w:val="left" w:pos="-720"/>
          <w:tab w:val="left" w:pos="426"/>
          <w:tab w:val="left" w:pos="487"/>
          <w:tab w:val="left" w:pos="862"/>
        </w:tabs>
        <w:ind w:left="420" w:hanging="420"/>
        <w:jc w:val="both"/>
        <w:rPr>
          <w:rFonts w:ascii="Arial" w:eastAsia="Arial" w:hAnsi="Arial" w:cs="Arial"/>
          <w:sz w:val="24"/>
          <w:szCs w:val="24"/>
        </w:rPr>
      </w:pPr>
    </w:p>
    <w:p w14:paraId="00000050" w14:textId="77777777" w:rsidR="00096FB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rPr>
        <w:tab/>
        <w:t>Evitar expresiones como “auditar”, “examinar”, “revisar”, que podría dar a entender que se trata de encargos de aseguramiento.</w:t>
      </w:r>
    </w:p>
    <w:p w14:paraId="00000051" w14:textId="77777777" w:rsidR="00096FB5" w:rsidRDefault="00096FB5">
      <w:pPr>
        <w:tabs>
          <w:tab w:val="left" w:pos="-720"/>
          <w:tab w:val="left" w:pos="426"/>
          <w:tab w:val="left" w:pos="487"/>
          <w:tab w:val="left" w:pos="862"/>
        </w:tabs>
        <w:ind w:left="420" w:hanging="420"/>
        <w:jc w:val="both"/>
        <w:rPr>
          <w:rFonts w:ascii="Arial" w:eastAsia="Arial" w:hAnsi="Arial" w:cs="Arial"/>
          <w:sz w:val="24"/>
          <w:szCs w:val="24"/>
        </w:rPr>
      </w:pPr>
    </w:p>
    <w:p w14:paraId="00000052" w14:textId="77777777" w:rsidR="00096FB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00000053" w14:textId="77777777" w:rsidR="00096FB5" w:rsidRDefault="00096FB5">
      <w:pPr>
        <w:tabs>
          <w:tab w:val="left" w:pos="-720"/>
          <w:tab w:val="left" w:pos="0"/>
          <w:tab w:val="left" w:pos="487"/>
          <w:tab w:val="left" w:pos="862"/>
        </w:tabs>
        <w:jc w:val="both"/>
        <w:rPr>
          <w:rFonts w:ascii="Arial" w:eastAsia="Arial" w:hAnsi="Arial" w:cs="Arial"/>
          <w:sz w:val="24"/>
          <w:szCs w:val="24"/>
        </w:rPr>
      </w:pPr>
    </w:p>
    <w:sectPr w:rsidR="00096FB5">
      <w:footerReference w:type="default" r:id="rId8"/>
      <w:pgSz w:w="11907" w:h="16839"/>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06B11" w14:textId="77777777" w:rsidR="00322AD1" w:rsidRDefault="00322AD1">
      <w:r>
        <w:separator/>
      </w:r>
    </w:p>
  </w:endnote>
  <w:endnote w:type="continuationSeparator" w:id="0">
    <w:p w14:paraId="458CE7F3" w14:textId="77777777" w:rsidR="00322AD1" w:rsidRDefault="0032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4" w14:textId="77777777" w:rsidR="00096FB5" w:rsidRDefault="00096FB5">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D50CA" w14:textId="77777777" w:rsidR="00322AD1" w:rsidRDefault="00322AD1">
      <w:r>
        <w:separator/>
      </w:r>
    </w:p>
  </w:footnote>
  <w:footnote w:type="continuationSeparator" w:id="0">
    <w:p w14:paraId="4F64F0E0" w14:textId="77777777" w:rsidR="00322AD1" w:rsidRDefault="00322AD1">
      <w:r>
        <w:continuationSeparator/>
      </w:r>
    </w:p>
  </w:footnote>
  <w:footnote w:id="1">
    <w:p w14:paraId="4A777FD3" w14:textId="77777777" w:rsidR="00284F30" w:rsidRDefault="00284F30" w:rsidP="00284F30">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31319"/>
    <w:multiLevelType w:val="multilevel"/>
    <w:tmpl w:val="C7E05D7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A4B585F"/>
    <w:multiLevelType w:val="multilevel"/>
    <w:tmpl w:val="EC449E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5C4DA6"/>
    <w:multiLevelType w:val="multilevel"/>
    <w:tmpl w:val="4810DB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2049260">
    <w:abstractNumId w:val="2"/>
  </w:num>
  <w:num w:numId="2" w16cid:durableId="47847460">
    <w:abstractNumId w:val="1"/>
  </w:num>
  <w:num w:numId="3" w16cid:durableId="1794207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FB5"/>
    <w:rsid w:val="00096FB5"/>
    <w:rsid w:val="00284F30"/>
    <w:rsid w:val="00322AD1"/>
    <w:rsid w:val="00490CC1"/>
    <w:rsid w:val="0055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8B33AE-9759-4976-AAF0-F6D19BF1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309227">
      <w:bodyDiv w:val="1"/>
      <w:marLeft w:val="0"/>
      <w:marRight w:val="0"/>
      <w:marTop w:val="0"/>
      <w:marBottom w:val="0"/>
      <w:divBdr>
        <w:top w:val="none" w:sz="0" w:space="0" w:color="auto"/>
        <w:left w:val="none" w:sz="0" w:space="0" w:color="auto"/>
        <w:bottom w:val="none" w:sz="0" w:space="0" w:color="auto"/>
        <w:right w:val="none" w:sz="0" w:space="0" w:color="auto"/>
      </w:divBdr>
    </w:div>
    <w:div w:id="73231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t9nu2abpdY1QGKM1F/Mx6hcXVw==">CgMxLjAyCWlkLmdqZGd4czgAciExc2NaemxNNDhEMTZhYWIydjBscU9ldUNVY3pIUVR0ZUE=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7129</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2024-11-06T22:00:00Z</dcterms:created>
  <dcterms:modified xsi:type="dcterms:W3CDTF">2024-11-07T20:20:00Z</dcterms:modified>
</cp:coreProperties>
</file>