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4819E" w14:textId="77777777" w:rsidR="00C43B44" w:rsidRPr="00C43B44" w:rsidRDefault="00000000" w:rsidP="00C43B44">
      <w:pPr>
        <w:keepNext/>
        <w:jc w:val="center"/>
        <w:rPr>
          <w:rFonts w:ascii="Arial" w:eastAsia="Arial" w:hAnsi="Arial" w:cs="Arial"/>
          <w:b/>
          <w:sz w:val="24"/>
          <w:szCs w:val="24"/>
          <w:u w:val="single"/>
          <w:lang w:val="en-US"/>
        </w:rPr>
      </w:pPr>
      <w:r>
        <w:rPr>
          <w:rFonts w:ascii="Arial" w:eastAsia="Arial" w:hAnsi="Arial" w:cs="Arial"/>
          <w:b/>
          <w:sz w:val="24"/>
          <w:szCs w:val="24"/>
          <w:u w:val="single"/>
        </w:rPr>
        <w:t xml:space="preserve">INFORME DE CONTADOR PÚBLICO INDEPENDIENTE SOBRE EL CUMPLIMIENTO DE LOS REQUERIMIENTOS DE LA INSPECCIÓN GENERAL DE JUSTICIA EN RELACIÓN CON EL ESTADO DE SITUACIÓN PATRIMONIAL </w:t>
      </w:r>
      <w:r>
        <w:rPr>
          <w:rFonts w:ascii="Arial" w:eastAsia="Arial" w:hAnsi="Arial" w:cs="Arial"/>
          <w:b/>
          <w:i/>
          <w:sz w:val="24"/>
          <w:szCs w:val="24"/>
          <w:u w:val="single"/>
        </w:rPr>
        <w:t>{O “BALANCE GENERAL”}</w:t>
      </w:r>
      <w:r>
        <w:rPr>
          <w:rFonts w:ascii="Arial" w:eastAsia="Arial" w:hAnsi="Arial" w:cs="Arial"/>
          <w:b/>
          <w:sz w:val="24"/>
          <w:szCs w:val="24"/>
          <w:u w:val="single"/>
        </w:rPr>
        <w:t xml:space="preserve"> ESPECIAL DE ESCISIÓN </w:t>
      </w:r>
      <w:r w:rsidR="00C43B44" w:rsidRPr="00C43B44">
        <w:rPr>
          <w:rFonts w:ascii="Arial" w:eastAsia="Arial" w:hAnsi="Arial" w:cs="Arial"/>
          <w:b/>
          <w:sz w:val="24"/>
          <w:szCs w:val="24"/>
          <w:u w:val="single"/>
          <w:vertAlign w:val="superscript"/>
        </w:rPr>
        <w:footnoteReference w:id="1"/>
      </w:r>
      <w:r w:rsidR="00C43B44" w:rsidRPr="00C43B44">
        <w:rPr>
          <w:rFonts w:ascii="Arial" w:eastAsia="Arial" w:hAnsi="Arial" w:cs="Arial"/>
          <w:b/>
          <w:sz w:val="24"/>
          <w:szCs w:val="24"/>
          <w:u w:val="single"/>
          <w:lang w:val="en-US"/>
        </w:rPr>
        <w:t xml:space="preserve"> </w:t>
      </w:r>
    </w:p>
    <w:p w14:paraId="00000002" w14:textId="2B1D80A3" w:rsidR="00A66651" w:rsidRDefault="00A66651" w:rsidP="00C43B44">
      <w:pPr>
        <w:keepNext/>
        <w:jc w:val="center"/>
        <w:rPr>
          <w:rFonts w:ascii="Arial" w:eastAsia="Arial" w:hAnsi="Arial" w:cs="Arial"/>
          <w:b/>
          <w:sz w:val="24"/>
          <w:szCs w:val="24"/>
        </w:rPr>
      </w:pPr>
    </w:p>
    <w:p w14:paraId="00000003" w14:textId="77777777" w:rsidR="00A66651" w:rsidRDefault="00A66651">
      <w:pPr>
        <w:tabs>
          <w:tab w:val="left" w:pos="-720"/>
        </w:tabs>
        <w:spacing w:line="216" w:lineRule="auto"/>
        <w:rPr>
          <w:rFonts w:ascii="Arial" w:eastAsia="Arial" w:hAnsi="Arial" w:cs="Arial"/>
          <w:b/>
          <w:sz w:val="24"/>
          <w:szCs w:val="24"/>
        </w:rPr>
      </w:pPr>
    </w:p>
    <w:p w14:paraId="00000004" w14:textId="77777777" w:rsidR="00A66651" w:rsidRDefault="00000000">
      <w:pPr>
        <w:tabs>
          <w:tab w:val="left" w:pos="-720"/>
        </w:tabs>
        <w:ind w:right="48"/>
        <w:jc w:val="both"/>
        <w:rPr>
          <w:rFonts w:ascii="Arial" w:eastAsia="Arial" w:hAnsi="Arial" w:cs="Arial"/>
          <w:sz w:val="24"/>
          <w:szCs w:val="24"/>
        </w:rPr>
      </w:pPr>
      <w:r>
        <w:rPr>
          <w:rFonts w:ascii="Arial" w:eastAsia="Arial" w:hAnsi="Arial" w:cs="Arial"/>
          <w:sz w:val="24"/>
          <w:szCs w:val="24"/>
        </w:rPr>
        <w:t>Señor……</w:t>
      </w:r>
      <w:r>
        <w:rPr>
          <w:rFonts w:ascii="Arial" w:eastAsia="Arial" w:hAnsi="Arial" w:cs="Arial"/>
          <w:sz w:val="24"/>
          <w:szCs w:val="24"/>
          <w:vertAlign w:val="superscript"/>
        </w:rPr>
        <w:t xml:space="preserve"> (1)</w:t>
      </w:r>
      <w:r>
        <w:rPr>
          <w:rFonts w:ascii="Arial" w:eastAsia="Arial" w:hAnsi="Arial" w:cs="Arial"/>
          <w:sz w:val="24"/>
          <w:szCs w:val="24"/>
        </w:rPr>
        <w:t xml:space="preserve"> de</w:t>
      </w:r>
    </w:p>
    <w:p w14:paraId="00000005" w14:textId="77777777" w:rsidR="00A66651" w:rsidRDefault="00000000">
      <w:pPr>
        <w:tabs>
          <w:tab w:val="left" w:pos="-720"/>
        </w:tabs>
        <w:ind w:right="48"/>
        <w:jc w:val="both"/>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r>
        <w:rPr>
          <w:rFonts w:ascii="Arial" w:eastAsia="Arial" w:hAnsi="Arial" w:cs="Arial"/>
          <w:sz w:val="24"/>
          <w:szCs w:val="24"/>
        </w:rPr>
        <w:t xml:space="preserve"> </w:t>
      </w:r>
    </w:p>
    <w:p w14:paraId="00000006" w14:textId="77777777" w:rsidR="00A66651" w:rsidRDefault="00000000">
      <w:pPr>
        <w:tabs>
          <w:tab w:val="left" w:pos="-720"/>
        </w:tabs>
        <w:ind w:right="48"/>
        <w:jc w:val="both"/>
        <w:rPr>
          <w:rFonts w:ascii="Arial" w:eastAsia="Arial" w:hAnsi="Arial" w:cs="Arial"/>
          <w:color w:val="0000FF"/>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00000007" w14:textId="77777777" w:rsidR="00A66651" w:rsidRDefault="00000000">
      <w:pPr>
        <w:tabs>
          <w:tab w:val="left" w:pos="-720"/>
        </w:tabs>
        <w:ind w:right="48"/>
        <w:jc w:val="both"/>
        <w:rPr>
          <w:rFonts w:ascii="Arial" w:eastAsia="Arial" w:hAnsi="Arial" w:cs="Arial"/>
          <w:sz w:val="24"/>
          <w:szCs w:val="24"/>
        </w:rPr>
      </w:pPr>
      <w:r>
        <w:rPr>
          <w:rFonts w:ascii="Arial" w:eastAsia="Arial" w:hAnsi="Arial" w:cs="Arial"/>
          <w:sz w:val="24"/>
          <w:szCs w:val="24"/>
        </w:rPr>
        <w:t>Domicilio Legal: ……</w:t>
      </w:r>
    </w:p>
    <w:p w14:paraId="00000008" w14:textId="77777777" w:rsidR="00A66651" w:rsidRDefault="00A66651">
      <w:pPr>
        <w:spacing w:line="216" w:lineRule="auto"/>
        <w:rPr>
          <w:rFonts w:ascii="Arial" w:eastAsia="Arial" w:hAnsi="Arial" w:cs="Arial"/>
          <w:sz w:val="24"/>
          <w:szCs w:val="24"/>
        </w:rPr>
      </w:pPr>
    </w:p>
    <w:p w14:paraId="00000009" w14:textId="77777777" w:rsidR="00A66651" w:rsidRDefault="00A66651">
      <w:pPr>
        <w:tabs>
          <w:tab w:val="left" w:pos="-720"/>
        </w:tabs>
        <w:spacing w:line="216" w:lineRule="auto"/>
        <w:rPr>
          <w:rFonts w:ascii="Arial" w:eastAsia="Arial" w:hAnsi="Arial" w:cs="Arial"/>
          <w:sz w:val="24"/>
          <w:szCs w:val="24"/>
        </w:rPr>
      </w:pPr>
    </w:p>
    <w:p w14:paraId="0000000A" w14:textId="77777777" w:rsidR="00A66651" w:rsidRDefault="00000000">
      <w:pPr>
        <w:numPr>
          <w:ilvl w:val="0"/>
          <w:numId w:val="3"/>
        </w:numPr>
        <w:ind w:left="284" w:right="48" w:hanging="284"/>
        <w:rPr>
          <w:rFonts w:ascii="Arial" w:eastAsia="Arial" w:hAnsi="Arial" w:cs="Arial"/>
          <w:b/>
          <w:sz w:val="24"/>
          <w:szCs w:val="24"/>
        </w:rPr>
      </w:pPr>
      <w:r>
        <w:rPr>
          <w:rFonts w:ascii="Arial" w:eastAsia="Arial" w:hAnsi="Arial" w:cs="Arial"/>
          <w:b/>
          <w:sz w:val="24"/>
          <w:szCs w:val="24"/>
        </w:rPr>
        <w:t>Objeto del encargo</w:t>
      </w:r>
    </w:p>
    <w:p w14:paraId="0000000B" w14:textId="77777777" w:rsidR="00A66651" w:rsidRDefault="00A66651">
      <w:pPr>
        <w:ind w:right="48"/>
        <w:rPr>
          <w:rFonts w:ascii="Arial" w:eastAsia="Arial" w:hAnsi="Arial" w:cs="Arial"/>
          <w:sz w:val="24"/>
          <w:szCs w:val="24"/>
        </w:rPr>
      </w:pPr>
    </w:p>
    <w:p w14:paraId="0000000C" w14:textId="77777777" w:rsidR="00A66651"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la Inspección General de Justicia (IGJ) en relación con 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escisión, en cumplimiento del artículo 88, inciso 2 de la Ley General de Sociedades N° 19.550 y de acuerdo con lo requerido por el artículo 151, inciso 3, de la Resolución General N° 15/24 y sus modificatorias (en adelante, “RG 15/24”) de la IGJ. El estado de situación patrimonial </w:t>
      </w:r>
      <w:r>
        <w:rPr>
          <w:rFonts w:ascii="Arial" w:eastAsia="Arial" w:hAnsi="Arial" w:cs="Arial"/>
          <w:i/>
          <w:sz w:val="24"/>
          <w:szCs w:val="24"/>
        </w:rPr>
        <w:t>{</w:t>
      </w:r>
      <w:r>
        <w:rPr>
          <w:rFonts w:ascii="Arial" w:eastAsia="Arial" w:hAnsi="Arial" w:cs="Arial"/>
          <w:sz w:val="24"/>
          <w:szCs w:val="24"/>
        </w:rPr>
        <w:t>o</w:t>
      </w:r>
      <w:r>
        <w:rPr>
          <w:rFonts w:ascii="Arial" w:eastAsia="Arial" w:hAnsi="Arial" w:cs="Arial"/>
          <w:i/>
          <w:sz w:val="24"/>
          <w:szCs w:val="24"/>
        </w:rPr>
        <w:t xml:space="preserve"> “balance general”</w:t>
      </w:r>
      <w:r>
        <w:rPr>
          <w:rFonts w:ascii="Arial" w:eastAsia="Arial" w:hAnsi="Arial" w:cs="Arial"/>
          <w:sz w:val="24"/>
          <w:szCs w:val="24"/>
        </w:rPr>
        <w:t xml:space="preserve">} especial de escisión mencionado precedentemente ha sido preparado por la Dirección </w:t>
      </w:r>
      <w:r>
        <w:rPr>
          <w:rFonts w:ascii="Arial" w:eastAsia="Arial" w:hAnsi="Arial" w:cs="Arial"/>
          <w:sz w:val="24"/>
          <w:szCs w:val="24"/>
          <w:vertAlign w:val="superscript"/>
        </w:rPr>
        <w:t>(4)</w:t>
      </w:r>
      <w:r>
        <w:rPr>
          <w:rFonts w:ascii="Arial" w:eastAsia="Arial" w:hAnsi="Arial" w:cs="Arial"/>
          <w:color w:val="0000FF"/>
          <w:sz w:val="24"/>
          <w:szCs w:val="24"/>
        </w:rPr>
        <w:t xml:space="preserve"> </w:t>
      </w:r>
      <w:r>
        <w:rPr>
          <w:rFonts w:ascii="Arial" w:eastAsia="Arial" w:hAnsi="Arial" w:cs="Arial"/>
          <w:sz w:val="24"/>
          <w:szCs w:val="24"/>
        </w:rPr>
        <w:t xml:space="preserve">de la Sociedad para el caso que las Asambleas de… </w:t>
      </w:r>
      <w:r>
        <w:rPr>
          <w:rFonts w:ascii="Arial" w:eastAsia="Arial" w:hAnsi="Arial" w:cs="Arial"/>
          <w:sz w:val="24"/>
          <w:szCs w:val="24"/>
          <w:vertAlign w:val="superscript"/>
        </w:rPr>
        <w:t>(2)</w:t>
      </w:r>
      <w:r>
        <w:rPr>
          <w:rFonts w:ascii="Arial" w:eastAsia="Arial" w:hAnsi="Arial" w:cs="Arial"/>
          <w:color w:val="0000FF"/>
          <w:sz w:val="24"/>
          <w:szCs w:val="24"/>
        </w:rPr>
        <w:t xml:space="preserve"> </w:t>
      </w:r>
      <w:r>
        <w:rPr>
          <w:rFonts w:ascii="Arial" w:eastAsia="Arial" w:hAnsi="Arial" w:cs="Arial"/>
          <w:sz w:val="24"/>
          <w:szCs w:val="24"/>
        </w:rPr>
        <w:t>decida la escisión de la misma. Dicha información será referida, en adelante, como “la Información objeto del encargo”.</w:t>
      </w:r>
    </w:p>
    <w:p w14:paraId="0000000D" w14:textId="77777777" w:rsidR="00A66651" w:rsidRDefault="00A66651">
      <w:pPr>
        <w:rPr>
          <w:rFonts w:ascii="Arial" w:eastAsia="Arial" w:hAnsi="Arial" w:cs="Arial"/>
          <w:sz w:val="24"/>
          <w:szCs w:val="24"/>
        </w:rPr>
      </w:pPr>
    </w:p>
    <w:p w14:paraId="0000000E" w14:textId="77777777" w:rsidR="00A66651" w:rsidRDefault="00000000">
      <w:pPr>
        <w:numPr>
          <w:ilvl w:val="0"/>
          <w:numId w:val="3"/>
        </w:numPr>
        <w:ind w:left="284" w:right="48" w:hanging="284"/>
        <w:rPr>
          <w:rFonts w:ascii="Arial" w:eastAsia="Arial" w:hAnsi="Arial" w:cs="Arial"/>
          <w:b/>
          <w:sz w:val="24"/>
          <w:szCs w:val="24"/>
        </w:rPr>
      </w:pPr>
      <w:r>
        <w:rPr>
          <w:rFonts w:ascii="Arial" w:eastAsia="Arial" w:hAnsi="Arial" w:cs="Arial"/>
          <w:b/>
          <w:sz w:val="24"/>
          <w:szCs w:val="24"/>
        </w:rPr>
        <w:t xml:space="preserve">Responsabilidad de la Dirección </w:t>
      </w:r>
      <w:r>
        <w:rPr>
          <w:rFonts w:ascii="Arial" w:eastAsia="Arial" w:hAnsi="Arial" w:cs="Arial"/>
          <w:b/>
          <w:sz w:val="24"/>
          <w:szCs w:val="24"/>
          <w:vertAlign w:val="superscript"/>
        </w:rPr>
        <w:t>(4)</w:t>
      </w:r>
      <w:r>
        <w:rPr>
          <w:rFonts w:ascii="Arial" w:eastAsia="Arial" w:hAnsi="Arial" w:cs="Arial"/>
          <w:b/>
          <w:color w:val="0000FF"/>
          <w:sz w:val="24"/>
          <w:szCs w:val="24"/>
        </w:rPr>
        <w:t xml:space="preserve"> </w:t>
      </w:r>
      <w:r>
        <w:rPr>
          <w:rFonts w:ascii="Arial" w:eastAsia="Arial" w:hAnsi="Arial" w:cs="Arial"/>
          <w:b/>
          <w:sz w:val="24"/>
          <w:szCs w:val="24"/>
        </w:rPr>
        <w:t>de la Sociedad</w:t>
      </w:r>
    </w:p>
    <w:p w14:paraId="0000000F" w14:textId="77777777" w:rsidR="00A66651" w:rsidRDefault="00A66651">
      <w:pPr>
        <w:ind w:right="48"/>
        <w:rPr>
          <w:rFonts w:ascii="Arial" w:eastAsia="Arial" w:hAnsi="Arial" w:cs="Arial"/>
          <w:b/>
          <w:sz w:val="24"/>
          <w:szCs w:val="24"/>
        </w:rPr>
      </w:pPr>
    </w:p>
    <w:p w14:paraId="00000010" w14:textId="77777777" w:rsidR="00A66651" w:rsidRDefault="00000000">
      <w:pPr>
        <w:ind w:right="48"/>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color w:val="0000FF"/>
          <w:sz w:val="24"/>
          <w:szCs w:val="24"/>
        </w:rPr>
        <w:t xml:space="preserve"> </w:t>
      </w:r>
      <w:r>
        <w:rPr>
          <w:rFonts w:ascii="Arial" w:eastAsia="Arial" w:hAnsi="Arial" w:cs="Arial"/>
          <w:sz w:val="24"/>
          <w:szCs w:val="24"/>
        </w:rPr>
        <w:t>de la Sociedad es responsable de la preparación y presentación de la Información objeto del encargo, de acuerdo con lo requerido por el artículo 151, inciso 3, de la RG 15/24, y del cumplimiento de las normas establecidas por la Ley General de Sociedades N° 19.550 y de las normas pertinentes de la IGJ en relación con el balance especial de escisión de sociedades.</w:t>
      </w:r>
    </w:p>
    <w:p w14:paraId="00000011" w14:textId="77777777" w:rsidR="00A66651" w:rsidRDefault="00A66651">
      <w:pPr>
        <w:ind w:right="48"/>
        <w:rPr>
          <w:rFonts w:ascii="Arial" w:eastAsia="Arial" w:hAnsi="Arial" w:cs="Arial"/>
          <w:sz w:val="24"/>
          <w:szCs w:val="24"/>
        </w:rPr>
      </w:pPr>
    </w:p>
    <w:p w14:paraId="00000012" w14:textId="77777777" w:rsidR="00A66651" w:rsidRDefault="00000000">
      <w:pPr>
        <w:numPr>
          <w:ilvl w:val="0"/>
          <w:numId w:val="3"/>
        </w:numPr>
        <w:tabs>
          <w:tab w:val="left" w:pos="851"/>
        </w:tabs>
        <w:ind w:left="284" w:right="48" w:hanging="284"/>
        <w:rPr>
          <w:rFonts w:ascii="Arial" w:eastAsia="Arial" w:hAnsi="Arial" w:cs="Arial"/>
          <w:b/>
          <w:sz w:val="24"/>
          <w:szCs w:val="24"/>
        </w:rPr>
      </w:pPr>
      <w:r>
        <w:rPr>
          <w:rFonts w:ascii="Arial" w:eastAsia="Arial" w:hAnsi="Arial" w:cs="Arial"/>
          <w:b/>
          <w:sz w:val="24"/>
          <w:szCs w:val="24"/>
        </w:rPr>
        <w:t>Responsabilidad del contador público</w:t>
      </w:r>
    </w:p>
    <w:p w14:paraId="00000013" w14:textId="77777777" w:rsidR="00A66651" w:rsidRDefault="00A66651">
      <w:pPr>
        <w:tabs>
          <w:tab w:val="left" w:pos="851"/>
        </w:tabs>
        <w:ind w:right="48"/>
        <w:rPr>
          <w:rFonts w:ascii="Arial" w:eastAsia="Arial" w:hAnsi="Arial" w:cs="Arial"/>
          <w:b/>
          <w:sz w:val="24"/>
          <w:szCs w:val="24"/>
        </w:rPr>
      </w:pPr>
    </w:p>
    <w:p w14:paraId="00000014" w14:textId="77777777" w:rsidR="00A66651" w:rsidRDefault="00000000">
      <w:pPr>
        <w:tabs>
          <w:tab w:val="left" w:pos="851"/>
        </w:tabs>
        <w:ind w:right="48"/>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00000015" w14:textId="77777777" w:rsidR="00A66651" w:rsidRDefault="00A66651">
      <w:pPr>
        <w:tabs>
          <w:tab w:val="left" w:pos="851"/>
        </w:tabs>
        <w:ind w:right="48"/>
        <w:rPr>
          <w:rFonts w:ascii="Arial" w:eastAsia="Arial" w:hAnsi="Arial" w:cs="Arial"/>
          <w:b/>
          <w:sz w:val="24"/>
          <w:szCs w:val="24"/>
        </w:rPr>
      </w:pPr>
    </w:p>
    <w:p w14:paraId="00000016" w14:textId="77777777" w:rsidR="00A66651" w:rsidRDefault="00000000">
      <w:pPr>
        <w:numPr>
          <w:ilvl w:val="0"/>
          <w:numId w:val="3"/>
        </w:numPr>
        <w:tabs>
          <w:tab w:val="left" w:pos="851"/>
        </w:tabs>
        <w:ind w:left="284" w:right="48" w:hanging="284"/>
        <w:rPr>
          <w:rFonts w:ascii="Arial" w:eastAsia="Arial" w:hAnsi="Arial" w:cs="Arial"/>
          <w:b/>
          <w:sz w:val="24"/>
          <w:szCs w:val="24"/>
        </w:rPr>
      </w:pPr>
      <w:r>
        <w:rPr>
          <w:rFonts w:ascii="Arial" w:eastAsia="Arial" w:hAnsi="Arial" w:cs="Arial"/>
          <w:b/>
          <w:sz w:val="24"/>
          <w:szCs w:val="24"/>
        </w:rPr>
        <w:t>Tarea profesional</w:t>
      </w:r>
    </w:p>
    <w:p w14:paraId="00000017" w14:textId="77777777" w:rsidR="00A66651" w:rsidRDefault="00A66651">
      <w:pPr>
        <w:spacing w:after="120"/>
        <w:rPr>
          <w:rFonts w:ascii="Arial" w:eastAsia="Arial" w:hAnsi="Arial" w:cs="Arial"/>
          <w:sz w:val="24"/>
          <w:szCs w:val="24"/>
        </w:rPr>
      </w:pPr>
    </w:p>
    <w:p w14:paraId="00000018" w14:textId="77777777" w:rsidR="00A66651" w:rsidRDefault="00000000">
      <w:pPr>
        <w:spacing w:after="120"/>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w:t>
      </w:r>
      <w:r>
        <w:rPr>
          <w:rFonts w:ascii="Arial" w:eastAsia="Arial" w:hAnsi="Arial" w:cs="Arial"/>
          <w:sz w:val="24"/>
          <w:szCs w:val="24"/>
        </w:rPr>
        <w:lastRenderedPageBreak/>
        <w:t xml:space="preserve">Ley General de Sociedades y la  IGJ mencionados en el párrafo 1 del presente informe. La RT37 exige que cumpla los requerimientos de ética, así como que planifique y ejecute mi tarea de forma tal que me permita emitir el presente informe de cumplimento. </w:t>
      </w:r>
    </w:p>
    <w:p w14:paraId="00000019" w14:textId="77777777" w:rsidR="00A66651" w:rsidRDefault="00A66651">
      <w:pPr>
        <w:spacing w:after="120"/>
        <w:ind w:left="708" w:hanging="708"/>
        <w:jc w:val="both"/>
        <w:rPr>
          <w:rFonts w:ascii="Arial" w:eastAsia="Arial" w:hAnsi="Arial" w:cs="Arial"/>
          <w:sz w:val="24"/>
          <w:szCs w:val="24"/>
        </w:rPr>
      </w:pPr>
    </w:p>
    <w:p w14:paraId="0000001A" w14:textId="77777777" w:rsidR="00A66651" w:rsidRDefault="00000000">
      <w:pPr>
        <w:spacing w:after="120"/>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000001B" w14:textId="77777777" w:rsidR="00A66651"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0000001C" w14:textId="77777777" w:rsidR="00A66651"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Verificar que los importes incluidos en la columna “</w:t>
      </w:r>
      <w:r>
        <w:rPr>
          <w:rFonts w:ascii="Arial" w:eastAsia="Arial" w:hAnsi="Arial" w:cs="Arial"/>
          <w:color w:val="0000FF"/>
          <w:sz w:val="24"/>
          <w:szCs w:val="24"/>
        </w:rPr>
        <w:t>……</w:t>
      </w:r>
      <w:r>
        <w:rPr>
          <w:rFonts w:ascii="Arial" w:eastAsia="Arial" w:hAnsi="Arial" w:cs="Arial"/>
          <w:sz w:val="24"/>
          <w:szCs w:val="24"/>
        </w:rPr>
        <w:t xml:space="preserve"> </w:t>
      </w:r>
      <w:r>
        <w:rPr>
          <w:rFonts w:ascii="Arial" w:eastAsia="Arial" w:hAnsi="Arial" w:cs="Arial"/>
          <w:sz w:val="24"/>
          <w:szCs w:val="24"/>
          <w:vertAlign w:val="superscript"/>
        </w:rPr>
        <w:t>(a)</w:t>
      </w:r>
      <w:r>
        <w:rPr>
          <w:rFonts w:ascii="Arial" w:eastAsia="Arial" w:hAnsi="Arial" w:cs="Arial"/>
          <w:sz w:val="24"/>
          <w:szCs w:val="24"/>
        </w:rPr>
        <w:t xml:space="preserve">” surjan de los estados contables de dicha Sociedad al… de… de... </w:t>
      </w:r>
      <w:r>
        <w:rPr>
          <w:rFonts w:ascii="Arial" w:eastAsia="Arial" w:hAnsi="Arial" w:cs="Arial"/>
          <w:sz w:val="24"/>
          <w:szCs w:val="24"/>
          <w:vertAlign w:val="superscript"/>
        </w:rPr>
        <w:t>(b)</w:t>
      </w:r>
      <w:r>
        <w:rPr>
          <w:rFonts w:ascii="Arial" w:eastAsia="Arial" w:hAnsi="Arial" w:cs="Arial"/>
          <w:sz w:val="24"/>
          <w:szCs w:val="24"/>
        </w:rPr>
        <w:t xml:space="preserve">, preparados de acuerdo con las normas contables profesionales argentinas </w:t>
      </w:r>
      <w:r>
        <w:rPr>
          <w:rFonts w:ascii="Arial" w:eastAsia="Arial" w:hAnsi="Arial" w:cs="Arial"/>
          <w:i/>
          <w:sz w:val="24"/>
          <w:szCs w:val="24"/>
        </w:rPr>
        <w:t>{adecuar según que marco contable utilice la sociedad}</w:t>
      </w:r>
      <w:r>
        <w:rPr>
          <w:rFonts w:ascii="Arial" w:eastAsia="Arial" w:hAnsi="Arial" w:cs="Arial"/>
          <w:sz w:val="24"/>
          <w:szCs w:val="24"/>
        </w:rPr>
        <w:t xml:space="preserve">, transcriptos en el Libro Inventario y Balances N°… de la Sociedad, rubricado el…por… </w:t>
      </w:r>
      <w:r>
        <w:rPr>
          <w:rFonts w:ascii="Arial" w:eastAsia="Arial" w:hAnsi="Arial" w:cs="Arial"/>
          <w:sz w:val="24"/>
          <w:szCs w:val="24"/>
          <w:vertAlign w:val="superscript"/>
        </w:rPr>
        <w:t>(5)</w:t>
      </w:r>
      <w:r>
        <w:rPr>
          <w:rFonts w:ascii="Arial" w:eastAsia="Arial" w:hAnsi="Arial" w:cs="Arial"/>
          <w:sz w:val="24"/>
          <w:szCs w:val="24"/>
        </w:rPr>
        <w:t xml:space="preserve"> bajo el N°…, folios, aprobados por el acta de Directorio </w:t>
      </w:r>
      <w:r>
        <w:rPr>
          <w:rFonts w:ascii="Arial" w:eastAsia="Arial" w:hAnsi="Arial" w:cs="Arial"/>
          <w:sz w:val="24"/>
          <w:szCs w:val="24"/>
          <w:vertAlign w:val="superscript"/>
        </w:rPr>
        <w:t>(4)</w:t>
      </w:r>
      <w:r>
        <w:rPr>
          <w:rFonts w:ascii="Arial" w:eastAsia="Arial" w:hAnsi="Arial" w:cs="Arial"/>
          <w:sz w:val="24"/>
          <w:szCs w:val="24"/>
        </w:rPr>
        <w:t xml:space="preserve"> de la Sociedad N°… transcripta en el Libro de Actas de Directorio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Sobre  dichos estados contables se emitió un informe de auditoría de fecha… sin salvedades </w:t>
      </w:r>
      <w:r>
        <w:rPr>
          <w:rFonts w:ascii="Arial" w:eastAsia="Arial" w:hAnsi="Arial" w:cs="Arial"/>
          <w:i/>
          <w:sz w:val="24"/>
          <w:szCs w:val="24"/>
        </w:rPr>
        <w:t>{o “con las siguientes salvedades:..” detallar}</w:t>
      </w:r>
      <w:r>
        <w:rPr>
          <w:rFonts w:ascii="Arial" w:eastAsia="Arial" w:hAnsi="Arial" w:cs="Arial"/>
          <w:sz w:val="24"/>
          <w:szCs w:val="24"/>
        </w:rPr>
        <w:t xml:space="preserve"> e informe del órgano de fiscalización </w:t>
      </w:r>
      <w:r>
        <w:rPr>
          <w:rFonts w:ascii="Arial" w:eastAsia="Arial" w:hAnsi="Arial" w:cs="Arial"/>
          <w:sz w:val="24"/>
          <w:szCs w:val="24"/>
          <w:vertAlign w:val="superscript"/>
        </w:rPr>
        <w:t>(8)</w:t>
      </w:r>
      <w:r>
        <w:rPr>
          <w:rFonts w:ascii="Arial" w:eastAsia="Arial" w:hAnsi="Arial" w:cs="Arial"/>
          <w:sz w:val="24"/>
          <w:szCs w:val="24"/>
        </w:rPr>
        <w:t>.</w:t>
      </w:r>
    </w:p>
    <w:p w14:paraId="0000001D" w14:textId="77777777" w:rsidR="00A66651"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 xml:space="preserve">Verificar que los importes incluidos en la columna “Bienes y cuentas que se escinden de la Sociedad </w:t>
      </w:r>
      <w:r>
        <w:rPr>
          <w:rFonts w:ascii="Arial" w:eastAsia="Arial" w:hAnsi="Arial" w:cs="Arial"/>
          <w:i/>
          <w:sz w:val="24"/>
          <w:szCs w:val="24"/>
        </w:rPr>
        <w:t>{u otra denominación similar}</w:t>
      </w:r>
      <w:r>
        <w:rPr>
          <w:rFonts w:ascii="Arial" w:eastAsia="Arial" w:hAnsi="Arial" w:cs="Arial"/>
          <w:sz w:val="24"/>
          <w:szCs w:val="24"/>
        </w:rPr>
        <w:t xml:space="preserve">” reflejen los activos y pasivos que, en caso de ser aprobada la escisión por la Asamblea, se escindirían de acuerdo a lo aprobado por el acta de Directorio </w:t>
      </w:r>
      <w:r>
        <w:rPr>
          <w:rFonts w:ascii="Arial" w:eastAsia="Arial" w:hAnsi="Arial" w:cs="Arial"/>
          <w:sz w:val="24"/>
          <w:szCs w:val="24"/>
          <w:vertAlign w:val="superscript"/>
        </w:rPr>
        <w:t xml:space="preserve">(4) </w:t>
      </w:r>
      <w:r>
        <w:rPr>
          <w:rFonts w:ascii="Arial" w:eastAsia="Arial" w:hAnsi="Arial" w:cs="Arial"/>
          <w:sz w:val="24"/>
          <w:szCs w:val="24"/>
        </w:rPr>
        <w:t xml:space="preserve">de fecha…, transcripta en el Libro de Actas de Directorio </w:t>
      </w:r>
      <w:r>
        <w:rPr>
          <w:rFonts w:ascii="Arial" w:eastAsia="Arial" w:hAnsi="Arial" w:cs="Arial"/>
          <w:sz w:val="24"/>
          <w:szCs w:val="24"/>
          <w:vertAlign w:val="superscript"/>
        </w:rPr>
        <w:t>(4)</w:t>
      </w:r>
      <w:r>
        <w:rPr>
          <w:rFonts w:ascii="Arial" w:eastAsia="Arial" w:hAnsi="Arial" w:cs="Arial"/>
          <w:sz w:val="24"/>
          <w:szCs w:val="24"/>
        </w:rPr>
        <w:t xml:space="preserve"> mencionado en el párrafo precedente.</w:t>
      </w:r>
    </w:p>
    <w:p w14:paraId="0000001E" w14:textId="77777777" w:rsidR="00A66651"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 xml:space="preserve">Verificar que la columna “… </w:t>
      </w:r>
      <w:r>
        <w:rPr>
          <w:rFonts w:ascii="Arial" w:eastAsia="Arial" w:hAnsi="Arial" w:cs="Arial"/>
          <w:sz w:val="24"/>
          <w:szCs w:val="24"/>
          <w:vertAlign w:val="superscript"/>
        </w:rPr>
        <w:t>(c)</w:t>
      </w:r>
      <w:r>
        <w:rPr>
          <w:rFonts w:ascii="Arial" w:eastAsia="Arial" w:hAnsi="Arial" w:cs="Arial"/>
          <w:sz w:val="24"/>
          <w:szCs w:val="24"/>
        </w:rPr>
        <w:t>” surja de la resta aritmética de las columnas “…</w:t>
      </w:r>
      <w:r>
        <w:rPr>
          <w:rFonts w:ascii="Arial" w:eastAsia="Arial" w:hAnsi="Arial" w:cs="Arial"/>
          <w:sz w:val="24"/>
          <w:szCs w:val="24"/>
          <w:vertAlign w:val="superscript"/>
        </w:rPr>
        <w:t xml:space="preserve"> (c)</w:t>
      </w:r>
      <w:r>
        <w:rPr>
          <w:rFonts w:ascii="Arial" w:eastAsia="Arial" w:hAnsi="Arial" w:cs="Arial"/>
          <w:sz w:val="24"/>
          <w:szCs w:val="24"/>
        </w:rPr>
        <w:t xml:space="preserve">” y “Bienes y cuentas que se escinden de la Sociedad </w:t>
      </w:r>
      <w:r>
        <w:rPr>
          <w:rFonts w:ascii="Arial" w:eastAsia="Arial" w:hAnsi="Arial" w:cs="Arial"/>
          <w:i/>
          <w:sz w:val="24"/>
          <w:szCs w:val="24"/>
        </w:rPr>
        <w:t>{u otra denominación similar}</w:t>
      </w:r>
      <w:r>
        <w:rPr>
          <w:rFonts w:ascii="Arial" w:eastAsia="Arial" w:hAnsi="Arial" w:cs="Arial"/>
          <w:sz w:val="24"/>
          <w:szCs w:val="24"/>
        </w:rPr>
        <w:t xml:space="preserve">”. </w:t>
      </w:r>
    </w:p>
    <w:p w14:paraId="0000001F" w14:textId="77777777" w:rsidR="00A66651" w:rsidRDefault="00A66651">
      <w:pPr>
        <w:ind w:left="720"/>
        <w:rPr>
          <w:rFonts w:ascii="Arial" w:eastAsia="Arial" w:hAnsi="Arial" w:cs="Arial"/>
          <w:sz w:val="24"/>
          <w:szCs w:val="24"/>
        </w:rPr>
      </w:pPr>
    </w:p>
    <w:p w14:paraId="00000020" w14:textId="77777777" w:rsidR="00A66651" w:rsidRDefault="00000000">
      <w:pPr>
        <w:numPr>
          <w:ilvl w:val="0"/>
          <w:numId w:val="3"/>
        </w:numPr>
        <w:tabs>
          <w:tab w:val="left" w:pos="-720"/>
        </w:tabs>
        <w:ind w:left="284" w:hanging="284"/>
        <w:rPr>
          <w:rFonts w:ascii="Arial" w:eastAsia="Arial" w:hAnsi="Arial" w:cs="Arial"/>
          <w:b/>
          <w:sz w:val="24"/>
          <w:szCs w:val="24"/>
        </w:rPr>
      </w:pPr>
      <w:r>
        <w:rPr>
          <w:rFonts w:ascii="Arial" w:eastAsia="Arial" w:hAnsi="Arial" w:cs="Arial"/>
          <w:b/>
          <w:sz w:val="24"/>
          <w:szCs w:val="24"/>
        </w:rPr>
        <w:t>Manifestación profesional</w:t>
      </w:r>
    </w:p>
    <w:p w14:paraId="00000021" w14:textId="77777777" w:rsidR="00A66651" w:rsidRDefault="00A66651">
      <w:pPr>
        <w:tabs>
          <w:tab w:val="left" w:pos="-720"/>
        </w:tabs>
        <w:rPr>
          <w:rFonts w:ascii="Arial" w:eastAsia="Arial" w:hAnsi="Arial" w:cs="Arial"/>
          <w:b/>
          <w:sz w:val="24"/>
          <w:szCs w:val="24"/>
        </w:rPr>
      </w:pPr>
    </w:p>
    <w:p w14:paraId="00000022" w14:textId="77777777" w:rsidR="00A66651" w:rsidRDefault="00000000">
      <w:pPr>
        <w:tabs>
          <w:tab w:val="left" w:pos="851"/>
        </w:tabs>
        <w:ind w:right="48"/>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el artículo 88 inciso 2 de la Ley General de Sociedades N° 19.550 y por las normas de IGJ en relación con el estado de situación patrimonial </w:t>
      </w:r>
      <w:r>
        <w:rPr>
          <w:rFonts w:ascii="Arial" w:eastAsia="Arial" w:hAnsi="Arial" w:cs="Arial"/>
          <w:i/>
          <w:sz w:val="24"/>
          <w:szCs w:val="24"/>
        </w:rPr>
        <w:t xml:space="preserve">{o “balance general”} </w:t>
      </w:r>
      <w:r>
        <w:rPr>
          <w:rFonts w:ascii="Arial" w:eastAsia="Arial" w:hAnsi="Arial" w:cs="Arial"/>
          <w:sz w:val="24"/>
          <w:szCs w:val="24"/>
        </w:rPr>
        <w:t xml:space="preserve">especial de escisión </w:t>
      </w:r>
      <w:r>
        <w:rPr>
          <w:rFonts w:ascii="Arial" w:eastAsia="Arial" w:hAnsi="Arial" w:cs="Arial"/>
          <w:sz w:val="24"/>
          <w:szCs w:val="24"/>
          <w:vertAlign w:val="superscript"/>
        </w:rPr>
        <w:t>(6)</w:t>
      </w:r>
      <w:r>
        <w:rPr>
          <w:rFonts w:ascii="Arial" w:eastAsia="Arial" w:hAnsi="Arial" w:cs="Arial"/>
          <w:sz w:val="24"/>
          <w:szCs w:val="24"/>
        </w:rPr>
        <w:t>.</w:t>
      </w:r>
    </w:p>
    <w:p w14:paraId="00000023" w14:textId="77777777" w:rsidR="00A66651" w:rsidRDefault="00A66651">
      <w:pPr>
        <w:jc w:val="both"/>
        <w:rPr>
          <w:rFonts w:ascii="Arial" w:eastAsia="Arial" w:hAnsi="Arial" w:cs="Arial"/>
          <w:sz w:val="24"/>
          <w:szCs w:val="24"/>
        </w:rPr>
      </w:pPr>
    </w:p>
    <w:p w14:paraId="00000024" w14:textId="77777777" w:rsidR="00A66651" w:rsidRDefault="00000000">
      <w:pPr>
        <w:jc w:val="both"/>
        <w:rPr>
          <w:rFonts w:ascii="Arial" w:eastAsia="Arial" w:hAnsi="Arial" w:cs="Arial"/>
          <w:color w:val="000000"/>
          <w:sz w:val="24"/>
          <w:szCs w:val="24"/>
        </w:rPr>
      </w:pPr>
      <w:r>
        <w:rPr>
          <w:rFonts w:ascii="Arial" w:eastAsia="Arial" w:hAnsi="Arial" w:cs="Arial"/>
          <w:sz w:val="24"/>
          <w:szCs w:val="24"/>
        </w:rPr>
        <w:t xml:space="preserve">Adicionalmente, </w:t>
      </w:r>
      <w:r>
        <w:rPr>
          <w:rFonts w:ascii="Arial" w:eastAsia="Arial" w:hAnsi="Arial" w:cs="Arial"/>
          <w:color w:val="000000"/>
          <w:sz w:val="24"/>
          <w:szCs w:val="24"/>
        </w:rPr>
        <w:t>en cumplimiento de disposiciones vigentes informo que:</w:t>
      </w:r>
    </w:p>
    <w:p w14:paraId="00000025" w14:textId="77777777" w:rsidR="00A66651" w:rsidRDefault="00A66651">
      <w:pPr>
        <w:jc w:val="both"/>
        <w:rPr>
          <w:rFonts w:ascii="Arial" w:eastAsia="Arial" w:hAnsi="Arial" w:cs="Arial"/>
          <w:sz w:val="24"/>
          <w:szCs w:val="24"/>
        </w:rPr>
      </w:pPr>
    </w:p>
    <w:p w14:paraId="00000026" w14:textId="77777777" w:rsidR="00A66651" w:rsidRDefault="00000000">
      <w:pPr>
        <w:numPr>
          <w:ilvl w:val="0"/>
          <w:numId w:val="2"/>
        </w:numPr>
        <w:ind w:left="426" w:hanging="425"/>
        <w:jc w:val="both"/>
        <w:rPr>
          <w:rFonts w:ascii="Arial" w:eastAsia="Arial" w:hAnsi="Arial" w:cs="Arial"/>
          <w:sz w:val="24"/>
          <w:szCs w:val="24"/>
        </w:rPr>
      </w:pPr>
      <w:r>
        <w:rPr>
          <w:rFonts w:ascii="Arial" w:eastAsia="Arial" w:hAnsi="Arial" w:cs="Arial"/>
          <w:sz w:val="24"/>
          <w:szCs w:val="24"/>
        </w:rPr>
        <w:t xml:space="preserve">El estado de situación patrimonial </w:t>
      </w:r>
      <w:r>
        <w:rPr>
          <w:rFonts w:ascii="Arial" w:eastAsia="Arial" w:hAnsi="Arial" w:cs="Arial"/>
          <w:i/>
          <w:sz w:val="24"/>
          <w:szCs w:val="24"/>
        </w:rPr>
        <w:t xml:space="preserve">{o “balance general”} </w:t>
      </w:r>
      <w:r>
        <w:rPr>
          <w:rFonts w:ascii="Arial" w:eastAsia="Arial" w:hAnsi="Arial" w:cs="Arial"/>
          <w:sz w:val="24"/>
          <w:szCs w:val="24"/>
        </w:rPr>
        <w:t>especial de escisión de las Sociedades al… de… de… se encuentra transcripto en…</w:t>
      </w:r>
    </w:p>
    <w:p w14:paraId="00000027" w14:textId="77777777" w:rsidR="00A66651" w:rsidRDefault="00000000">
      <w:pPr>
        <w:numPr>
          <w:ilvl w:val="0"/>
          <w:numId w:val="2"/>
        </w:numPr>
        <w:ind w:left="426" w:hanging="425"/>
        <w:jc w:val="both"/>
        <w:rPr>
          <w:rFonts w:ascii="Arial" w:eastAsia="Arial" w:hAnsi="Arial" w:cs="Arial"/>
          <w:sz w:val="24"/>
          <w:szCs w:val="24"/>
        </w:rPr>
      </w:pPr>
      <w:r>
        <w:rPr>
          <w:rFonts w:ascii="Arial" w:eastAsia="Arial" w:hAnsi="Arial" w:cs="Arial"/>
          <w:sz w:val="24"/>
          <w:szCs w:val="24"/>
        </w:rPr>
        <w:t xml:space="preserve">Al…, la deuda </w:t>
      </w:r>
      <w:r>
        <w:rPr>
          <w:rFonts w:ascii="Arial" w:eastAsia="Arial" w:hAnsi="Arial" w:cs="Arial"/>
          <w:color w:val="000000"/>
          <w:sz w:val="24"/>
          <w:szCs w:val="24"/>
        </w:rPr>
        <w:t>devengada en concepto de aportes y contribuciones con destino al Sistema Integrado Previsional Argentino</w:t>
      </w:r>
      <w:r>
        <w:rPr>
          <w:rFonts w:ascii="Arial" w:eastAsia="Arial" w:hAnsi="Arial" w:cs="Arial"/>
          <w:sz w:val="24"/>
          <w:szCs w:val="24"/>
        </w:rPr>
        <w:t>, que surge de los respectivos registros contables de la Sociedad, asciende antes de dar efecto a la escisión  a $..., no siendo exigible a dicha fecha.</w:t>
      </w:r>
    </w:p>
    <w:p w14:paraId="00000028" w14:textId="77777777" w:rsidR="00A66651" w:rsidRDefault="00A66651">
      <w:pPr>
        <w:jc w:val="both"/>
        <w:rPr>
          <w:rFonts w:ascii="Arial" w:eastAsia="Arial" w:hAnsi="Arial" w:cs="Arial"/>
          <w:b/>
          <w:sz w:val="24"/>
          <w:szCs w:val="24"/>
        </w:rPr>
      </w:pPr>
    </w:p>
    <w:p w14:paraId="00000029" w14:textId="77777777" w:rsidR="00A66651" w:rsidRDefault="00A66651">
      <w:pPr>
        <w:jc w:val="both"/>
        <w:rPr>
          <w:rFonts w:ascii="Arial" w:eastAsia="Arial" w:hAnsi="Arial" w:cs="Arial"/>
          <w:b/>
          <w:sz w:val="24"/>
          <w:szCs w:val="24"/>
        </w:rPr>
      </w:pPr>
    </w:p>
    <w:p w14:paraId="0000002A" w14:textId="77777777" w:rsidR="00A66651" w:rsidRDefault="00A66651">
      <w:pPr>
        <w:jc w:val="both"/>
        <w:rPr>
          <w:rFonts w:ascii="Arial" w:eastAsia="Arial" w:hAnsi="Arial" w:cs="Arial"/>
          <w:b/>
          <w:sz w:val="24"/>
          <w:szCs w:val="24"/>
        </w:rPr>
      </w:pPr>
    </w:p>
    <w:p w14:paraId="0000002B" w14:textId="77777777" w:rsidR="00A66651" w:rsidRDefault="00000000">
      <w:pPr>
        <w:numPr>
          <w:ilvl w:val="0"/>
          <w:numId w:val="3"/>
        </w:numPr>
        <w:ind w:left="284" w:hanging="284"/>
        <w:rPr>
          <w:rFonts w:ascii="Arial" w:eastAsia="Arial" w:hAnsi="Arial" w:cs="Arial"/>
          <w:b/>
          <w:sz w:val="24"/>
          <w:szCs w:val="24"/>
        </w:rPr>
      </w:pPr>
      <w:r>
        <w:rPr>
          <w:rFonts w:ascii="Arial" w:eastAsia="Arial" w:hAnsi="Arial" w:cs="Arial"/>
          <w:b/>
          <w:sz w:val="24"/>
          <w:szCs w:val="24"/>
        </w:rPr>
        <w:t>Restricción de uso del informe de cumplimiento</w:t>
      </w:r>
    </w:p>
    <w:p w14:paraId="0000002C" w14:textId="77777777" w:rsidR="00A66651" w:rsidRDefault="00A66651">
      <w:pPr>
        <w:tabs>
          <w:tab w:val="left" w:pos="-720"/>
        </w:tabs>
        <w:rPr>
          <w:rFonts w:ascii="Arial" w:eastAsia="Arial" w:hAnsi="Arial" w:cs="Arial"/>
          <w:b/>
          <w:sz w:val="24"/>
          <w:szCs w:val="24"/>
        </w:rPr>
      </w:pPr>
    </w:p>
    <w:p w14:paraId="0000002D" w14:textId="77777777" w:rsidR="00A66651" w:rsidRDefault="00000000">
      <w:pPr>
        <w:tabs>
          <w:tab w:val="left" w:pos="851"/>
        </w:tabs>
        <w:ind w:right="48"/>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por las normas de dicho organismo y por la Ley General de Sociedades N° 19.550 para la inscripción del trámite de escisión de sociedades mencionado en el párrafo 1 y, por lo tanto, no debe ser utilizado, hacerse referencia a él o ser distribuido con ningún otro propósito.</w:t>
      </w:r>
    </w:p>
    <w:p w14:paraId="0000002E" w14:textId="77777777" w:rsidR="00A66651" w:rsidRDefault="00A66651">
      <w:pPr>
        <w:tabs>
          <w:tab w:val="left" w:pos="851"/>
        </w:tabs>
        <w:ind w:right="48"/>
        <w:rPr>
          <w:rFonts w:ascii="Arial" w:eastAsia="Arial" w:hAnsi="Arial" w:cs="Arial"/>
          <w:sz w:val="24"/>
          <w:szCs w:val="24"/>
        </w:rPr>
      </w:pPr>
    </w:p>
    <w:p w14:paraId="0000002F" w14:textId="77777777" w:rsidR="00A66651" w:rsidRDefault="00A66651">
      <w:pPr>
        <w:tabs>
          <w:tab w:val="left" w:pos="851"/>
        </w:tabs>
        <w:ind w:right="48"/>
        <w:rPr>
          <w:rFonts w:ascii="Arial" w:eastAsia="Arial" w:hAnsi="Arial" w:cs="Arial"/>
          <w:sz w:val="24"/>
          <w:szCs w:val="24"/>
        </w:rPr>
      </w:pPr>
    </w:p>
    <w:p w14:paraId="00000030" w14:textId="77777777" w:rsidR="00A66651" w:rsidRDefault="00A66651">
      <w:pPr>
        <w:tabs>
          <w:tab w:val="left" w:pos="851"/>
        </w:tabs>
        <w:ind w:right="48"/>
        <w:rPr>
          <w:rFonts w:ascii="Arial" w:eastAsia="Arial" w:hAnsi="Arial" w:cs="Arial"/>
          <w:sz w:val="24"/>
          <w:szCs w:val="24"/>
        </w:rPr>
      </w:pPr>
    </w:p>
    <w:p w14:paraId="00000031" w14:textId="77777777" w:rsidR="00A66651" w:rsidRDefault="00000000">
      <w:pPr>
        <w:rPr>
          <w:rFonts w:ascii="Arial" w:eastAsia="Arial" w:hAnsi="Arial" w:cs="Arial"/>
          <w:sz w:val="24"/>
          <w:szCs w:val="24"/>
        </w:rPr>
      </w:pPr>
      <w:r>
        <w:rPr>
          <w:rFonts w:ascii="Arial" w:eastAsia="Arial" w:hAnsi="Arial" w:cs="Arial"/>
          <w:sz w:val="24"/>
          <w:szCs w:val="24"/>
        </w:rPr>
        <w:t>Lugar y fecha</w:t>
      </w:r>
    </w:p>
    <w:p w14:paraId="00000032" w14:textId="77777777" w:rsidR="00A66651" w:rsidRDefault="00A66651">
      <w:pPr>
        <w:tabs>
          <w:tab w:val="left" w:pos="-720"/>
          <w:tab w:val="left" w:pos="0"/>
          <w:tab w:val="left" w:pos="487"/>
          <w:tab w:val="left" w:pos="862"/>
        </w:tabs>
        <w:jc w:val="both"/>
        <w:rPr>
          <w:rFonts w:ascii="Arial" w:eastAsia="Arial" w:hAnsi="Arial" w:cs="Arial"/>
          <w:sz w:val="24"/>
          <w:szCs w:val="24"/>
        </w:rPr>
      </w:pPr>
    </w:p>
    <w:p w14:paraId="00000033" w14:textId="77777777" w:rsidR="00A66651" w:rsidRDefault="00A66651">
      <w:pPr>
        <w:tabs>
          <w:tab w:val="left" w:pos="-720"/>
          <w:tab w:val="left" w:pos="0"/>
          <w:tab w:val="left" w:pos="487"/>
          <w:tab w:val="left" w:pos="862"/>
        </w:tabs>
        <w:jc w:val="both"/>
        <w:rPr>
          <w:rFonts w:ascii="Arial" w:eastAsia="Arial" w:hAnsi="Arial" w:cs="Arial"/>
          <w:sz w:val="24"/>
          <w:szCs w:val="24"/>
        </w:rPr>
      </w:pPr>
    </w:p>
    <w:p w14:paraId="00000034" w14:textId="77777777" w:rsidR="00A66651" w:rsidRDefault="00000000">
      <w:pPr>
        <w:pBdr>
          <w:bottom w:val="single" w:sz="6" w:space="1" w:color="000000"/>
        </w:pBdr>
        <w:tabs>
          <w:tab w:val="center" w:pos="0"/>
          <w:tab w:val="left" w:pos="720"/>
        </w:tabs>
        <w:jc w:val="both"/>
        <w:rPr>
          <w:rFonts w:ascii="Arial" w:eastAsia="Arial" w:hAnsi="Arial" w:cs="Arial"/>
          <w:sz w:val="24"/>
          <w:szCs w:val="24"/>
        </w:rPr>
      </w:pPr>
      <w:r>
        <w:rPr>
          <w:rFonts w:ascii="Arial" w:eastAsia="Arial" w:hAnsi="Arial" w:cs="Arial"/>
          <w:sz w:val="24"/>
          <w:szCs w:val="24"/>
        </w:rPr>
        <w:t>[Firma del profesional]</w:t>
      </w:r>
    </w:p>
    <w:p w14:paraId="00000035" w14:textId="77777777" w:rsidR="00A66651" w:rsidRDefault="00A66651">
      <w:pPr>
        <w:pBdr>
          <w:bottom w:val="single" w:sz="6" w:space="1" w:color="000000"/>
        </w:pBdr>
        <w:tabs>
          <w:tab w:val="center" w:pos="0"/>
          <w:tab w:val="left" w:pos="720"/>
        </w:tabs>
        <w:jc w:val="both"/>
        <w:rPr>
          <w:rFonts w:ascii="Arial" w:eastAsia="Arial" w:hAnsi="Arial" w:cs="Arial"/>
          <w:sz w:val="24"/>
          <w:szCs w:val="24"/>
        </w:rPr>
      </w:pPr>
    </w:p>
    <w:p w14:paraId="00000036" w14:textId="77777777" w:rsidR="00A66651" w:rsidRDefault="00A66651">
      <w:pPr>
        <w:pBdr>
          <w:bottom w:val="single" w:sz="6" w:space="1" w:color="000000"/>
        </w:pBdr>
        <w:tabs>
          <w:tab w:val="center" w:pos="0"/>
          <w:tab w:val="left" w:pos="720"/>
        </w:tabs>
        <w:jc w:val="both"/>
        <w:rPr>
          <w:rFonts w:ascii="Arial" w:eastAsia="Arial" w:hAnsi="Arial" w:cs="Arial"/>
          <w:sz w:val="24"/>
          <w:szCs w:val="24"/>
        </w:rPr>
      </w:pPr>
    </w:p>
    <w:p w14:paraId="00000037" w14:textId="77777777" w:rsidR="00A66651" w:rsidRDefault="00A66651">
      <w:pPr>
        <w:jc w:val="both"/>
        <w:rPr>
          <w:rFonts w:ascii="Arial" w:eastAsia="Arial" w:hAnsi="Arial" w:cs="Arial"/>
          <w:sz w:val="24"/>
          <w:szCs w:val="24"/>
        </w:rPr>
      </w:pPr>
    </w:p>
    <w:p w14:paraId="00000038" w14:textId="77777777" w:rsidR="00A66651"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00000039" w14:textId="77777777" w:rsidR="00A66651" w:rsidRDefault="00A66651">
      <w:pPr>
        <w:tabs>
          <w:tab w:val="left" w:pos="-720"/>
        </w:tabs>
        <w:spacing w:line="229" w:lineRule="auto"/>
        <w:ind w:left="720"/>
        <w:rPr>
          <w:rFonts w:ascii="Arial" w:eastAsia="Arial" w:hAnsi="Arial" w:cs="Arial"/>
          <w:sz w:val="24"/>
          <w:szCs w:val="24"/>
        </w:rPr>
      </w:pPr>
    </w:p>
    <w:p w14:paraId="0000003A" w14:textId="77777777" w:rsidR="00A66651" w:rsidRDefault="00000000">
      <w:pPr>
        <w:tabs>
          <w:tab w:val="left" w:pos="-720"/>
        </w:tabs>
        <w:spacing w:line="229" w:lineRule="auto"/>
        <w:ind w:left="284" w:hanging="284"/>
        <w:jc w:val="both"/>
        <w:rPr>
          <w:rFonts w:ascii="Arial" w:eastAsia="Arial" w:hAnsi="Arial" w:cs="Arial"/>
          <w:sz w:val="24"/>
          <w:szCs w:val="24"/>
        </w:rPr>
      </w:pPr>
      <w:r>
        <w:rPr>
          <w:rFonts w:ascii="Arial" w:eastAsia="Arial" w:hAnsi="Arial" w:cs="Arial"/>
          <w:sz w:val="24"/>
          <w:szCs w:val="24"/>
          <w:vertAlign w:val="subscript"/>
        </w:rPr>
        <w:t xml:space="preserve">(a) </w:t>
      </w:r>
      <w:r>
        <w:rPr>
          <w:rFonts w:ascii="Arial" w:eastAsia="Arial" w:hAnsi="Arial" w:cs="Arial"/>
          <w:sz w:val="24"/>
          <w:szCs w:val="24"/>
        </w:rPr>
        <w:t xml:space="preserve">La denominación de la columna debe hacer referencia al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utilizado para la escisión.</w:t>
      </w:r>
    </w:p>
    <w:p w14:paraId="0000003B" w14:textId="77777777" w:rsidR="00A66651" w:rsidRDefault="00A66651">
      <w:pPr>
        <w:tabs>
          <w:tab w:val="left" w:pos="-720"/>
        </w:tabs>
        <w:spacing w:line="229" w:lineRule="auto"/>
        <w:ind w:left="284" w:hanging="284"/>
        <w:jc w:val="both"/>
        <w:rPr>
          <w:rFonts w:ascii="Arial" w:eastAsia="Arial" w:hAnsi="Arial" w:cs="Arial"/>
          <w:sz w:val="24"/>
          <w:szCs w:val="24"/>
        </w:rPr>
      </w:pPr>
    </w:p>
    <w:p w14:paraId="0000003C" w14:textId="77777777" w:rsidR="00A66651" w:rsidRDefault="00000000">
      <w:pPr>
        <w:tabs>
          <w:tab w:val="left" w:pos="-720"/>
        </w:tabs>
        <w:spacing w:line="229" w:lineRule="auto"/>
        <w:jc w:val="both"/>
        <w:rPr>
          <w:rFonts w:ascii="Arial" w:eastAsia="Arial" w:hAnsi="Arial" w:cs="Arial"/>
          <w:sz w:val="24"/>
          <w:szCs w:val="24"/>
        </w:rPr>
      </w:pPr>
      <w:r>
        <w:rPr>
          <w:rFonts w:ascii="Arial" w:eastAsia="Arial" w:hAnsi="Arial" w:cs="Arial"/>
          <w:sz w:val="24"/>
          <w:szCs w:val="24"/>
          <w:vertAlign w:val="superscript"/>
        </w:rPr>
        <w:t xml:space="preserve">(b) </w:t>
      </w:r>
      <w:r>
        <w:rPr>
          <w:rFonts w:ascii="Arial" w:eastAsia="Arial" w:hAnsi="Arial" w:cs="Arial"/>
          <w:sz w:val="24"/>
          <w:szCs w:val="24"/>
        </w:rPr>
        <w:t>Fecha de los Estados Contables utilizados a los fines de la escisión.</w:t>
      </w:r>
    </w:p>
    <w:p w14:paraId="0000003D" w14:textId="77777777" w:rsidR="00A66651" w:rsidRDefault="00A66651">
      <w:pPr>
        <w:ind w:left="284" w:hanging="284"/>
        <w:rPr>
          <w:rFonts w:ascii="Arial" w:eastAsia="Arial" w:hAnsi="Arial" w:cs="Arial"/>
          <w:sz w:val="24"/>
          <w:szCs w:val="24"/>
          <w:vertAlign w:val="superscript"/>
        </w:rPr>
      </w:pPr>
    </w:p>
    <w:p w14:paraId="0000003E" w14:textId="77777777" w:rsidR="00A66651" w:rsidRDefault="00000000">
      <w:pPr>
        <w:ind w:left="284" w:hanging="284"/>
        <w:rPr>
          <w:rFonts w:ascii="Arial" w:eastAsia="Arial" w:hAnsi="Arial" w:cs="Arial"/>
          <w:sz w:val="24"/>
          <w:szCs w:val="24"/>
        </w:rPr>
      </w:pPr>
      <w:r>
        <w:rPr>
          <w:rFonts w:ascii="Arial" w:eastAsia="Arial" w:hAnsi="Arial" w:cs="Arial"/>
          <w:sz w:val="24"/>
          <w:szCs w:val="24"/>
          <w:vertAlign w:val="superscript"/>
        </w:rPr>
        <w:t xml:space="preserve">(c) </w:t>
      </w:r>
      <w:r>
        <w:rPr>
          <w:rFonts w:ascii="Arial" w:eastAsia="Arial" w:hAnsi="Arial" w:cs="Arial"/>
          <w:sz w:val="24"/>
          <w:szCs w:val="24"/>
        </w:rPr>
        <w:t>La denominación de la columna debe hacer referencia a la situación posterior a la escisión.</w:t>
      </w:r>
    </w:p>
    <w:p w14:paraId="0000003F" w14:textId="77777777" w:rsidR="00A66651" w:rsidRDefault="00000000">
      <w:pPr>
        <w:rPr>
          <w:rFonts w:ascii="Arial" w:eastAsia="Arial" w:hAnsi="Arial" w:cs="Arial"/>
          <w:sz w:val="24"/>
          <w:szCs w:val="24"/>
        </w:rPr>
      </w:pPr>
      <w:r>
        <w:rPr>
          <w:rFonts w:ascii="Arial" w:eastAsia="Arial" w:hAnsi="Arial" w:cs="Arial"/>
          <w:sz w:val="24"/>
          <w:szCs w:val="24"/>
        </w:rPr>
        <w:t xml:space="preserve"> </w:t>
      </w:r>
    </w:p>
    <w:p w14:paraId="00000040" w14:textId="77777777" w:rsidR="00A66651" w:rsidRDefault="00000000">
      <w:pPr>
        <w:tabs>
          <w:tab w:val="left" w:pos="-720"/>
          <w:tab w:val="left" w:pos="142"/>
          <w:tab w:val="left" w:pos="426"/>
          <w:tab w:val="left" w:pos="862"/>
        </w:tabs>
        <w:jc w:val="both"/>
        <w:rPr>
          <w:rFonts w:ascii="Arial" w:eastAsia="Arial" w:hAnsi="Arial" w:cs="Arial"/>
          <w:sz w:val="24"/>
          <w:szCs w:val="24"/>
          <w:u w:val="single"/>
        </w:rPr>
      </w:pPr>
      <w:r>
        <w:br w:type="page"/>
      </w:r>
      <w:r>
        <w:lastRenderedPageBreak/>
        <w:tab/>
      </w:r>
      <w:r>
        <w:rPr>
          <w:rFonts w:ascii="Arial" w:eastAsia="Arial" w:hAnsi="Arial" w:cs="Arial"/>
          <w:sz w:val="24"/>
          <w:szCs w:val="24"/>
          <w:u w:val="single"/>
        </w:rPr>
        <w:t>Referencias:</w:t>
      </w:r>
    </w:p>
    <w:p w14:paraId="00000041" w14:textId="77777777" w:rsidR="00A66651" w:rsidRDefault="00A66651">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00000042" w14:textId="77777777" w:rsidR="00A66651"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00000043" w14:textId="77777777" w:rsidR="00A66651" w:rsidRDefault="00A66651">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00000044" w14:textId="77777777" w:rsidR="00A66651"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00000045" w14:textId="77777777" w:rsidR="00A66651" w:rsidRDefault="00A66651">
      <w:pPr>
        <w:tabs>
          <w:tab w:val="left" w:pos="-720"/>
          <w:tab w:val="left" w:pos="0"/>
          <w:tab w:val="left" w:pos="426"/>
          <w:tab w:val="left" w:pos="862"/>
        </w:tabs>
        <w:jc w:val="both"/>
        <w:rPr>
          <w:rFonts w:ascii="Arial" w:eastAsia="Arial" w:hAnsi="Arial" w:cs="Arial"/>
          <w:sz w:val="24"/>
          <w:szCs w:val="24"/>
          <w:vertAlign w:val="superscript"/>
        </w:rPr>
      </w:pPr>
    </w:p>
    <w:p w14:paraId="00000046" w14:textId="77777777" w:rsidR="00A66651"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00000047" w14:textId="77777777" w:rsidR="00A66651" w:rsidRDefault="00A66651">
      <w:pPr>
        <w:tabs>
          <w:tab w:val="left" w:pos="-720"/>
          <w:tab w:val="left" w:pos="426"/>
          <w:tab w:val="left" w:pos="862"/>
        </w:tabs>
        <w:ind w:left="426" w:hanging="426"/>
        <w:jc w:val="both"/>
        <w:rPr>
          <w:rFonts w:ascii="Arial" w:eastAsia="Arial" w:hAnsi="Arial" w:cs="Arial"/>
          <w:sz w:val="24"/>
          <w:szCs w:val="24"/>
          <w:vertAlign w:val="superscript"/>
        </w:rPr>
      </w:pPr>
    </w:p>
    <w:p w14:paraId="00000048" w14:textId="77777777" w:rsidR="00A66651"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00000049" w14:textId="77777777" w:rsidR="00A66651" w:rsidRDefault="00A66651">
      <w:pPr>
        <w:tabs>
          <w:tab w:val="left" w:pos="-720"/>
          <w:tab w:val="left" w:pos="426"/>
          <w:tab w:val="left" w:pos="862"/>
        </w:tabs>
        <w:ind w:left="426" w:hanging="426"/>
        <w:jc w:val="both"/>
        <w:rPr>
          <w:rFonts w:ascii="Arial" w:eastAsia="Arial" w:hAnsi="Arial" w:cs="Arial"/>
          <w:sz w:val="24"/>
          <w:szCs w:val="24"/>
          <w:vertAlign w:val="superscript"/>
        </w:rPr>
      </w:pPr>
    </w:p>
    <w:p w14:paraId="0000004A" w14:textId="77777777" w:rsidR="00A66651"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0000004B" w14:textId="77777777" w:rsidR="00A66651" w:rsidRDefault="00A66651">
      <w:pPr>
        <w:tabs>
          <w:tab w:val="left" w:pos="-720"/>
          <w:tab w:val="left" w:pos="426"/>
          <w:tab w:val="left" w:pos="862"/>
        </w:tabs>
        <w:jc w:val="both"/>
        <w:rPr>
          <w:rFonts w:ascii="Arial" w:eastAsia="Arial" w:hAnsi="Arial" w:cs="Arial"/>
          <w:sz w:val="24"/>
          <w:szCs w:val="24"/>
          <w:vertAlign w:val="superscript"/>
        </w:rPr>
      </w:pPr>
    </w:p>
    <w:p w14:paraId="0000004C" w14:textId="77777777" w:rsidR="00A66651"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0000004D" w14:textId="77777777" w:rsidR="00A66651" w:rsidRDefault="00A66651">
      <w:pPr>
        <w:tabs>
          <w:tab w:val="left" w:pos="-720"/>
          <w:tab w:val="left" w:pos="426"/>
          <w:tab w:val="left" w:pos="487"/>
          <w:tab w:val="left" w:pos="862"/>
        </w:tabs>
        <w:ind w:left="420" w:hanging="420"/>
        <w:jc w:val="both"/>
        <w:rPr>
          <w:rFonts w:ascii="Arial" w:eastAsia="Arial" w:hAnsi="Arial" w:cs="Arial"/>
          <w:sz w:val="24"/>
          <w:szCs w:val="24"/>
        </w:rPr>
      </w:pPr>
    </w:p>
    <w:p w14:paraId="0000004E" w14:textId="77777777" w:rsidR="00A66651"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0000004F" w14:textId="77777777" w:rsidR="00A66651" w:rsidRDefault="00A66651">
      <w:pPr>
        <w:tabs>
          <w:tab w:val="left" w:pos="-720"/>
          <w:tab w:val="left" w:pos="426"/>
          <w:tab w:val="left" w:pos="487"/>
          <w:tab w:val="left" w:pos="862"/>
        </w:tabs>
        <w:ind w:left="420" w:hanging="420"/>
        <w:jc w:val="both"/>
        <w:rPr>
          <w:rFonts w:ascii="Arial" w:eastAsia="Arial" w:hAnsi="Arial" w:cs="Arial"/>
          <w:sz w:val="24"/>
          <w:szCs w:val="24"/>
        </w:rPr>
      </w:pPr>
    </w:p>
    <w:p w14:paraId="00000050" w14:textId="77777777" w:rsidR="00A66651"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00000051" w14:textId="77777777" w:rsidR="00A66651" w:rsidRDefault="00A66651"/>
    <w:p w14:paraId="00000052" w14:textId="77777777" w:rsidR="00A66651" w:rsidRDefault="00A66651">
      <w:pPr>
        <w:pStyle w:val="Heading1"/>
        <w:rPr>
          <w:rFonts w:ascii="Arial" w:eastAsia="Arial" w:hAnsi="Arial" w:cs="Arial"/>
          <w:u w:val="single"/>
        </w:rPr>
      </w:pPr>
    </w:p>
    <w:sectPr w:rsidR="00A66651">
      <w:footerReference w:type="default" r:id="rId8"/>
      <w:pgSz w:w="11907" w:h="16839"/>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5AAB5" w14:textId="77777777" w:rsidR="001C4667" w:rsidRDefault="001C4667">
      <w:r>
        <w:separator/>
      </w:r>
    </w:p>
  </w:endnote>
  <w:endnote w:type="continuationSeparator" w:id="0">
    <w:p w14:paraId="1C9C937B" w14:textId="77777777" w:rsidR="001C4667" w:rsidRDefault="001C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3" w14:textId="77777777" w:rsidR="00A66651" w:rsidRDefault="00A66651">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5580D" w14:textId="77777777" w:rsidR="001C4667" w:rsidRDefault="001C4667">
      <w:r>
        <w:separator/>
      </w:r>
    </w:p>
  </w:footnote>
  <w:footnote w:type="continuationSeparator" w:id="0">
    <w:p w14:paraId="708B07C3" w14:textId="77777777" w:rsidR="001C4667" w:rsidRDefault="001C4667">
      <w:r>
        <w:continuationSeparator/>
      </w:r>
    </w:p>
  </w:footnote>
  <w:footnote w:id="1">
    <w:p w14:paraId="25DCB8D2" w14:textId="77777777" w:rsidR="00C43B44" w:rsidRDefault="00C43B44" w:rsidP="00C43B44">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71233"/>
    <w:multiLevelType w:val="multilevel"/>
    <w:tmpl w:val="D5744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311EE0"/>
    <w:multiLevelType w:val="multilevel"/>
    <w:tmpl w:val="56045D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C37226"/>
    <w:multiLevelType w:val="multilevel"/>
    <w:tmpl w:val="B280669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733042510">
    <w:abstractNumId w:val="1"/>
  </w:num>
  <w:num w:numId="2" w16cid:durableId="1454203815">
    <w:abstractNumId w:val="2"/>
  </w:num>
  <w:num w:numId="3" w16cid:durableId="101176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51"/>
    <w:rsid w:val="00126A94"/>
    <w:rsid w:val="001C4667"/>
    <w:rsid w:val="00A66651"/>
    <w:rsid w:val="00C43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4A063-2A1E-435E-B257-E229E08A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43141">
      <w:bodyDiv w:val="1"/>
      <w:marLeft w:val="0"/>
      <w:marRight w:val="0"/>
      <w:marTop w:val="0"/>
      <w:marBottom w:val="0"/>
      <w:divBdr>
        <w:top w:val="none" w:sz="0" w:space="0" w:color="auto"/>
        <w:left w:val="none" w:sz="0" w:space="0" w:color="auto"/>
        <w:bottom w:val="none" w:sz="0" w:space="0" w:color="auto"/>
        <w:right w:val="none" w:sz="0" w:space="0" w:color="auto"/>
      </w:divBdr>
    </w:div>
    <w:div w:id="1073158973">
      <w:bodyDiv w:val="1"/>
      <w:marLeft w:val="0"/>
      <w:marRight w:val="0"/>
      <w:marTop w:val="0"/>
      <w:marBottom w:val="0"/>
      <w:divBdr>
        <w:top w:val="none" w:sz="0" w:space="0" w:color="auto"/>
        <w:left w:val="none" w:sz="0" w:space="0" w:color="auto"/>
        <w:bottom w:val="none" w:sz="0" w:space="0" w:color="auto"/>
        <w:right w:val="none" w:sz="0" w:space="0" w:color="auto"/>
      </w:divBdr>
    </w:div>
    <w:div w:id="1722047914">
      <w:bodyDiv w:val="1"/>
      <w:marLeft w:val="0"/>
      <w:marRight w:val="0"/>
      <w:marTop w:val="0"/>
      <w:marBottom w:val="0"/>
      <w:divBdr>
        <w:top w:val="none" w:sz="0" w:space="0" w:color="auto"/>
        <w:left w:val="none" w:sz="0" w:space="0" w:color="auto"/>
        <w:bottom w:val="none" w:sz="0" w:space="0" w:color="auto"/>
        <w:right w:val="none" w:sz="0" w:space="0" w:color="auto"/>
      </w:divBdr>
    </w:div>
    <w:div w:id="1768380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8sZiDiIB9BSNC56xBGWulHuXA==">CgMxLjAyCWlkLmdqZGd4czgAciExMnNZTHZCSS00SGwzRENsZFFYby1xMDM2TmlDZ2ZfLWk=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2024-11-06T22:03:00Z</dcterms:created>
  <dcterms:modified xsi:type="dcterms:W3CDTF">2024-11-07T20:20:00Z</dcterms:modified>
</cp:coreProperties>
</file>