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D83" w:rsidRPr="006F54DA" w:rsidRDefault="00606D83" w:rsidP="00D233E4">
      <w:pPr>
        <w:widowControl/>
        <w:jc w:val="center"/>
        <w:rPr>
          <w:rFonts w:ascii="Garamond" w:hAnsi="Garamond" w:cs="Arial"/>
          <w:b/>
          <w:bCs/>
          <w:color w:val="000000"/>
          <w:sz w:val="24"/>
          <w:szCs w:val="24"/>
          <w:lang w:val="es-AR"/>
        </w:rPr>
      </w:pPr>
      <w:r w:rsidRPr="006F54DA">
        <w:rPr>
          <w:rFonts w:ascii="Garamond" w:hAnsi="Garamond" w:cs="Arial"/>
          <w:b/>
          <w:bCs/>
          <w:color w:val="000000"/>
          <w:sz w:val="24"/>
          <w:szCs w:val="24"/>
          <w:lang w:val="es-AR"/>
        </w:rPr>
        <w:t>INFORM</w:t>
      </w:r>
      <w:r w:rsidRPr="006F54DA">
        <w:rPr>
          <w:rFonts w:ascii="Garamond" w:hAnsi="Garamond" w:cs="Arial"/>
          <w:b/>
          <w:bCs/>
          <w:color w:val="000000"/>
          <w:spacing w:val="-3"/>
          <w:sz w:val="24"/>
          <w:szCs w:val="24"/>
          <w:lang w:val="es-AR"/>
        </w:rPr>
        <w:t>E</w:t>
      </w:r>
      <w:r w:rsidRPr="006F54DA">
        <w:rPr>
          <w:rFonts w:ascii="Garamond" w:hAnsi="Garamond" w:cs="Arial"/>
          <w:b/>
          <w:bCs/>
          <w:color w:val="000000"/>
          <w:sz w:val="24"/>
          <w:szCs w:val="24"/>
          <w:lang w:val="es-AR"/>
        </w:rPr>
        <w:t xml:space="preserve"> ESPECI</w:t>
      </w:r>
      <w:r w:rsidRPr="006F54DA">
        <w:rPr>
          <w:rFonts w:ascii="Garamond" w:hAnsi="Garamond" w:cs="Arial"/>
          <w:b/>
          <w:bCs/>
          <w:color w:val="000000"/>
          <w:spacing w:val="-6"/>
          <w:sz w:val="24"/>
          <w:szCs w:val="24"/>
          <w:lang w:val="es-AR"/>
        </w:rPr>
        <w:t>A</w:t>
      </w:r>
      <w:r w:rsidRPr="006F54DA">
        <w:rPr>
          <w:rFonts w:ascii="Garamond" w:hAnsi="Garamond" w:cs="Arial"/>
          <w:b/>
          <w:bCs/>
          <w:color w:val="000000"/>
          <w:sz w:val="24"/>
          <w:szCs w:val="24"/>
          <w:lang w:val="es-AR"/>
        </w:rPr>
        <w:t>L DE CONT</w:t>
      </w:r>
      <w:r w:rsidRPr="006F54DA">
        <w:rPr>
          <w:rFonts w:ascii="Garamond" w:hAnsi="Garamond" w:cs="Arial"/>
          <w:b/>
          <w:bCs/>
          <w:color w:val="000000"/>
          <w:spacing w:val="-6"/>
          <w:sz w:val="24"/>
          <w:szCs w:val="24"/>
          <w:lang w:val="es-AR"/>
        </w:rPr>
        <w:t>A</w:t>
      </w:r>
      <w:r w:rsidRPr="006F54DA">
        <w:rPr>
          <w:rFonts w:ascii="Garamond" w:hAnsi="Garamond" w:cs="Arial"/>
          <w:b/>
          <w:bCs/>
          <w:color w:val="000000"/>
          <w:sz w:val="24"/>
          <w:szCs w:val="24"/>
          <w:lang w:val="es-AR"/>
        </w:rPr>
        <w:t>DORES PÚBLICOS INDEPENDIEN</w:t>
      </w:r>
      <w:r w:rsidRPr="006F54DA">
        <w:rPr>
          <w:rFonts w:ascii="Garamond" w:hAnsi="Garamond" w:cs="Arial"/>
          <w:b/>
          <w:bCs/>
          <w:color w:val="000000"/>
          <w:spacing w:val="-3"/>
          <w:sz w:val="24"/>
          <w:szCs w:val="24"/>
          <w:lang w:val="es-AR"/>
        </w:rPr>
        <w:t>T</w:t>
      </w:r>
      <w:r w:rsidRPr="006F54DA">
        <w:rPr>
          <w:rFonts w:ascii="Garamond" w:hAnsi="Garamond" w:cs="Arial"/>
          <w:b/>
          <w:bCs/>
          <w:color w:val="000000"/>
          <w:sz w:val="24"/>
          <w:szCs w:val="24"/>
          <w:lang w:val="es-AR"/>
        </w:rPr>
        <w:t>ES</w:t>
      </w:r>
    </w:p>
    <w:p w:rsidR="00606D83" w:rsidRPr="00B66FEB" w:rsidRDefault="00606D83" w:rsidP="00D233E4">
      <w:pPr>
        <w:widowControl/>
        <w:jc w:val="center"/>
        <w:rPr>
          <w:rFonts w:ascii="Garamond" w:hAnsi="Garamond"/>
          <w:b/>
          <w:bCs/>
          <w:color w:val="010302"/>
          <w:sz w:val="24"/>
          <w:szCs w:val="24"/>
          <w:lang w:val="es-AR"/>
        </w:rPr>
      </w:pPr>
      <w:r w:rsidRPr="006F54DA">
        <w:rPr>
          <w:rFonts w:ascii="Garamond" w:hAnsi="Garamond" w:cs="Arial"/>
          <w:b/>
          <w:bCs/>
          <w:color w:val="000000"/>
          <w:sz w:val="24"/>
          <w:szCs w:val="24"/>
          <w:lang w:val="es-AR"/>
        </w:rPr>
        <w:t>(sobre b</w:t>
      </w:r>
      <w:r w:rsidRPr="006F54DA">
        <w:rPr>
          <w:rFonts w:ascii="Garamond" w:hAnsi="Garamond" w:cs="Arial"/>
          <w:b/>
          <w:bCs/>
          <w:color w:val="000000"/>
          <w:spacing w:val="-3"/>
          <w:sz w:val="24"/>
          <w:szCs w:val="24"/>
          <w:lang w:val="es-AR"/>
        </w:rPr>
        <w:t>a</w:t>
      </w:r>
      <w:r w:rsidRPr="006F54DA">
        <w:rPr>
          <w:rFonts w:ascii="Garamond" w:hAnsi="Garamond" w:cs="Arial"/>
          <w:b/>
          <w:bCs/>
          <w:color w:val="000000"/>
          <w:sz w:val="24"/>
          <w:szCs w:val="24"/>
          <w:lang w:val="es-AR"/>
        </w:rPr>
        <w:t>lance especi</w:t>
      </w:r>
      <w:r w:rsidRPr="006F54DA">
        <w:rPr>
          <w:rFonts w:ascii="Garamond" w:hAnsi="Garamond" w:cs="Arial"/>
          <w:b/>
          <w:bCs/>
          <w:color w:val="000000"/>
          <w:spacing w:val="-3"/>
          <w:sz w:val="24"/>
          <w:szCs w:val="24"/>
          <w:lang w:val="es-AR"/>
        </w:rPr>
        <w:t>a</w:t>
      </w:r>
      <w:r w:rsidRPr="006F54DA">
        <w:rPr>
          <w:rFonts w:ascii="Garamond" w:hAnsi="Garamond" w:cs="Arial"/>
          <w:b/>
          <w:bCs/>
          <w:color w:val="000000"/>
          <w:sz w:val="24"/>
          <w:szCs w:val="24"/>
          <w:lang w:val="es-AR"/>
        </w:rPr>
        <w:t xml:space="preserve">l </w:t>
      </w:r>
      <w:r w:rsidRPr="006F54DA">
        <w:rPr>
          <w:rFonts w:ascii="Garamond" w:hAnsi="Garamond" w:cs="Arial"/>
          <w:b/>
          <w:bCs/>
          <w:color w:val="000000"/>
          <w:spacing w:val="-3"/>
          <w:sz w:val="24"/>
          <w:szCs w:val="24"/>
          <w:lang w:val="es-AR"/>
        </w:rPr>
        <w:t>a</w:t>
      </w:r>
      <w:r w:rsidRPr="006F54DA">
        <w:rPr>
          <w:rFonts w:ascii="Garamond" w:hAnsi="Garamond" w:cs="Arial"/>
          <w:b/>
          <w:bCs/>
          <w:color w:val="000000"/>
          <w:sz w:val="24"/>
          <w:szCs w:val="24"/>
          <w:lang w:val="es-AR"/>
        </w:rPr>
        <w:t>l 1</w:t>
      </w:r>
      <w:r w:rsidRPr="006F54DA">
        <w:rPr>
          <w:rFonts w:ascii="Garamond" w:hAnsi="Garamond" w:cs="Arial"/>
          <w:b/>
          <w:bCs/>
          <w:color w:val="000000"/>
          <w:spacing w:val="-4"/>
          <w:sz w:val="24"/>
          <w:szCs w:val="24"/>
          <w:lang w:val="es-AR"/>
        </w:rPr>
        <w:t>8</w:t>
      </w:r>
      <w:r w:rsidRPr="006F54DA">
        <w:rPr>
          <w:rFonts w:ascii="Garamond" w:hAnsi="Garamond" w:cs="Arial"/>
          <w:b/>
          <w:bCs/>
          <w:color w:val="000000"/>
          <w:sz w:val="24"/>
          <w:szCs w:val="24"/>
          <w:lang w:val="es-AR"/>
        </w:rPr>
        <w:t xml:space="preserve"> de </w:t>
      </w:r>
      <w:r w:rsidRPr="006F54DA">
        <w:rPr>
          <w:rFonts w:ascii="Garamond" w:hAnsi="Garamond" w:cs="Arial"/>
          <w:b/>
          <w:bCs/>
          <w:color w:val="000000"/>
          <w:spacing w:val="-3"/>
          <w:sz w:val="24"/>
          <w:szCs w:val="24"/>
          <w:lang w:val="es-AR"/>
        </w:rPr>
        <w:t>d</w:t>
      </w:r>
      <w:r w:rsidRPr="006F54DA">
        <w:rPr>
          <w:rFonts w:ascii="Garamond" w:hAnsi="Garamond" w:cs="Arial"/>
          <w:b/>
          <w:bCs/>
          <w:color w:val="000000"/>
          <w:sz w:val="24"/>
          <w:szCs w:val="24"/>
          <w:lang w:val="es-AR"/>
        </w:rPr>
        <w:t>ici</w:t>
      </w:r>
      <w:r w:rsidRPr="006F54DA">
        <w:rPr>
          <w:rFonts w:ascii="Garamond" w:hAnsi="Garamond" w:cs="Arial"/>
          <w:b/>
          <w:bCs/>
          <w:color w:val="000000"/>
          <w:spacing w:val="-3"/>
          <w:sz w:val="24"/>
          <w:szCs w:val="24"/>
          <w:lang w:val="es-AR"/>
        </w:rPr>
        <w:t>e</w:t>
      </w:r>
      <w:r w:rsidRPr="006F54DA">
        <w:rPr>
          <w:rFonts w:ascii="Garamond" w:hAnsi="Garamond" w:cs="Arial"/>
          <w:b/>
          <w:bCs/>
          <w:color w:val="000000"/>
          <w:sz w:val="24"/>
          <w:szCs w:val="24"/>
          <w:lang w:val="es-AR"/>
        </w:rPr>
        <w:t>mbr</w:t>
      </w:r>
      <w:r w:rsidRPr="006F54DA">
        <w:rPr>
          <w:rFonts w:ascii="Garamond" w:hAnsi="Garamond" w:cs="Arial"/>
          <w:b/>
          <w:bCs/>
          <w:color w:val="000000"/>
          <w:spacing w:val="-3"/>
          <w:sz w:val="24"/>
          <w:szCs w:val="24"/>
          <w:lang w:val="es-AR"/>
        </w:rPr>
        <w:t>e</w:t>
      </w:r>
      <w:r w:rsidRPr="006F54DA">
        <w:rPr>
          <w:rFonts w:ascii="Garamond" w:hAnsi="Garamond" w:cs="Arial"/>
          <w:b/>
          <w:bCs/>
          <w:color w:val="000000"/>
          <w:sz w:val="24"/>
          <w:szCs w:val="24"/>
          <w:lang w:val="es-AR"/>
        </w:rPr>
        <w:t xml:space="preserve"> de 2020)</w:t>
      </w:r>
      <w:r>
        <w:rPr>
          <w:rStyle w:val="FootnoteReference"/>
          <w:rFonts w:ascii="Garamond" w:hAnsi="Garamond" w:cs="Arial"/>
          <w:b/>
          <w:bCs/>
          <w:color w:val="000000"/>
          <w:sz w:val="24"/>
          <w:szCs w:val="24"/>
          <w:lang w:val="es-AR"/>
        </w:rPr>
        <w:footnoteReference w:id="1"/>
      </w:r>
    </w:p>
    <w:p w:rsidR="00606D83" w:rsidRDefault="00606D83" w:rsidP="006F54DA">
      <w:pPr>
        <w:rPr>
          <w:rFonts w:ascii="Garamond" w:hAnsi="Garamond"/>
          <w:color w:val="000000"/>
          <w:sz w:val="24"/>
          <w:szCs w:val="24"/>
          <w:lang w:val="es-AR"/>
        </w:rPr>
      </w:pPr>
    </w:p>
    <w:p w:rsidR="00606D83" w:rsidRPr="006F54DA" w:rsidRDefault="00606D83" w:rsidP="006F54DA">
      <w:pPr>
        <w:rPr>
          <w:rFonts w:ascii="Garamond" w:hAnsi="Garamond"/>
          <w:color w:val="000000"/>
          <w:sz w:val="24"/>
          <w:szCs w:val="24"/>
          <w:lang w:val="es-AR"/>
        </w:rPr>
      </w:pPr>
    </w:p>
    <w:p w:rsidR="00606D83" w:rsidRDefault="00606D83" w:rsidP="006F54DA">
      <w:pPr>
        <w:widowControl/>
        <w:rPr>
          <w:rFonts w:ascii="Garamond" w:hAnsi="Garamond"/>
          <w:sz w:val="24"/>
          <w:szCs w:val="24"/>
          <w:lang w:val="es-AR" w:eastAsia="es-ES"/>
        </w:rPr>
      </w:pPr>
      <w:r w:rsidRPr="006F54DA">
        <w:rPr>
          <w:rFonts w:ascii="Garamond" w:hAnsi="Garamond"/>
          <w:sz w:val="24"/>
          <w:szCs w:val="24"/>
          <w:lang w:val="es-AR" w:eastAsia="es-ES"/>
        </w:rPr>
        <w:t xml:space="preserve">A los Señores Presidente y Directores de </w:t>
      </w:r>
    </w:p>
    <w:p w:rsidR="00606D83" w:rsidRPr="006F54DA" w:rsidRDefault="00606D83" w:rsidP="006F54DA">
      <w:pPr>
        <w:widowControl/>
        <w:rPr>
          <w:rFonts w:ascii="Garamond" w:hAnsi="Garamond"/>
          <w:sz w:val="24"/>
          <w:szCs w:val="24"/>
          <w:lang w:val="es-AR" w:eastAsia="es-ES"/>
        </w:rPr>
      </w:pPr>
      <w:r w:rsidRPr="006F54DA">
        <w:rPr>
          <w:rFonts w:ascii="Garamond" w:hAnsi="Garamond"/>
          <w:sz w:val="24"/>
          <w:szCs w:val="24"/>
          <w:lang w:val="es-AR" w:eastAsia="es-ES"/>
        </w:rPr>
        <w:t>ABCD</w:t>
      </w:r>
      <w:r>
        <w:rPr>
          <w:rStyle w:val="FootnoteReference"/>
          <w:rFonts w:ascii="Garamond" w:hAnsi="Garamond"/>
          <w:sz w:val="24"/>
          <w:szCs w:val="24"/>
          <w:lang w:val="es-AR" w:eastAsia="es-ES"/>
        </w:rPr>
        <w:footnoteReference w:id="2"/>
      </w:r>
      <w:r w:rsidRPr="006F54DA">
        <w:rPr>
          <w:rFonts w:ascii="Garamond" w:hAnsi="Garamond"/>
          <w:sz w:val="24"/>
          <w:szCs w:val="24"/>
          <w:lang w:val="es-AR" w:eastAsia="es-ES"/>
        </w:rPr>
        <w:t>…</w:t>
      </w:r>
    </w:p>
    <w:p w:rsidR="00606D83" w:rsidRPr="006F54DA" w:rsidRDefault="00606D83" w:rsidP="006F54DA">
      <w:pPr>
        <w:widowControl/>
        <w:rPr>
          <w:rFonts w:ascii="Garamond" w:hAnsi="Garamond"/>
          <w:sz w:val="24"/>
          <w:szCs w:val="24"/>
          <w:lang w:val="es-AR" w:eastAsia="es-ES"/>
        </w:rPr>
      </w:pPr>
      <w:r w:rsidRPr="006F54DA">
        <w:rPr>
          <w:rFonts w:ascii="Garamond" w:hAnsi="Garamond"/>
          <w:sz w:val="24"/>
          <w:szCs w:val="24"/>
          <w:lang w:val="es-AR" w:eastAsia="es-ES"/>
        </w:rPr>
        <w:t>CUIT N°…</w:t>
      </w:r>
    </w:p>
    <w:p w:rsidR="00606D83" w:rsidRPr="006F54DA" w:rsidRDefault="00606D83" w:rsidP="006F54DA">
      <w:pPr>
        <w:widowControl/>
        <w:rPr>
          <w:rFonts w:ascii="Garamond" w:hAnsi="Garamond"/>
          <w:sz w:val="24"/>
          <w:szCs w:val="24"/>
          <w:lang w:val="es-AR" w:eastAsia="es-ES"/>
        </w:rPr>
      </w:pPr>
      <w:r w:rsidRPr="006F54DA">
        <w:rPr>
          <w:rFonts w:ascii="Garamond" w:hAnsi="Garamond"/>
          <w:sz w:val="24"/>
          <w:szCs w:val="24"/>
          <w:lang w:val="es-AR" w:eastAsia="es-ES"/>
        </w:rPr>
        <w:t>Domicilio legal:…</w:t>
      </w:r>
    </w:p>
    <w:p w:rsidR="00606D83" w:rsidRPr="006F54DA" w:rsidRDefault="00606D83" w:rsidP="006F54DA">
      <w:pPr>
        <w:widowControl/>
        <w:rPr>
          <w:rFonts w:ascii="Garamond" w:hAnsi="Garamond"/>
          <w:color w:val="010302"/>
          <w:sz w:val="24"/>
          <w:szCs w:val="24"/>
          <w:lang w:val="es-AR"/>
        </w:rPr>
      </w:pPr>
      <w:r w:rsidRPr="006F54DA">
        <w:rPr>
          <w:rFonts w:ascii="Garamond" w:hAnsi="Garamond" w:cs="Arial"/>
          <w:color w:val="000000"/>
          <w:sz w:val="24"/>
          <w:szCs w:val="24"/>
          <w:lang w:val="es-AR"/>
        </w:rPr>
        <w:t>-------------------------------------------------------</w:t>
      </w:r>
    </w:p>
    <w:p w:rsidR="00606D83" w:rsidRPr="006F54DA" w:rsidRDefault="00606D83" w:rsidP="006F54DA">
      <w:pPr>
        <w:jc w:val="both"/>
        <w:rPr>
          <w:rFonts w:ascii="Garamond" w:hAnsi="Garamond"/>
          <w:color w:val="000000"/>
          <w:sz w:val="24"/>
          <w:szCs w:val="24"/>
          <w:lang w:val="es-AR"/>
        </w:rPr>
      </w:pPr>
    </w:p>
    <w:p w:rsidR="00606D83" w:rsidRPr="006F54DA" w:rsidRDefault="00606D83" w:rsidP="00DE6C64">
      <w:pPr>
        <w:pStyle w:val="ListParagraph"/>
        <w:numPr>
          <w:ilvl w:val="0"/>
          <w:numId w:val="14"/>
        </w:numPr>
        <w:ind w:left="357" w:hanging="357"/>
        <w:jc w:val="both"/>
        <w:rPr>
          <w:rFonts w:ascii="Garamond" w:hAnsi="Garamond"/>
          <w:b/>
          <w:bCs/>
          <w:color w:val="010302"/>
          <w:sz w:val="24"/>
          <w:szCs w:val="24"/>
          <w:lang w:val="es-AR"/>
        </w:rPr>
      </w:pPr>
      <w:r w:rsidRPr="006F54DA">
        <w:rPr>
          <w:rFonts w:ascii="Garamond" w:hAnsi="Garamond" w:cs="Arial"/>
          <w:b/>
          <w:bCs/>
          <w:color w:val="000000"/>
          <w:sz w:val="24"/>
          <w:szCs w:val="24"/>
          <w:lang w:val="es-AR"/>
        </w:rPr>
        <w:t>Identificació</w:t>
      </w:r>
      <w:r w:rsidRPr="006F54DA">
        <w:rPr>
          <w:rFonts w:ascii="Garamond" w:hAnsi="Garamond" w:cs="Arial"/>
          <w:b/>
          <w:bCs/>
          <w:color w:val="000000"/>
          <w:spacing w:val="-3"/>
          <w:sz w:val="24"/>
          <w:szCs w:val="24"/>
          <w:lang w:val="es-AR"/>
        </w:rPr>
        <w:t>n</w:t>
      </w:r>
      <w:r w:rsidRPr="006F54DA">
        <w:rPr>
          <w:rFonts w:ascii="Garamond" w:hAnsi="Garamond" w:cs="Arial"/>
          <w:b/>
          <w:bCs/>
          <w:color w:val="000000"/>
          <w:sz w:val="24"/>
          <w:szCs w:val="24"/>
          <w:lang w:val="es-AR"/>
        </w:rPr>
        <w:t xml:space="preserve"> de la inf</w:t>
      </w:r>
      <w:r w:rsidRPr="006F54DA">
        <w:rPr>
          <w:rFonts w:ascii="Garamond" w:hAnsi="Garamond" w:cs="Arial"/>
          <w:b/>
          <w:bCs/>
          <w:color w:val="000000"/>
          <w:spacing w:val="-3"/>
          <w:sz w:val="24"/>
          <w:szCs w:val="24"/>
          <w:lang w:val="es-AR"/>
        </w:rPr>
        <w:t>o</w:t>
      </w:r>
      <w:r w:rsidRPr="006F54DA">
        <w:rPr>
          <w:rFonts w:ascii="Garamond" w:hAnsi="Garamond" w:cs="Arial"/>
          <w:b/>
          <w:bCs/>
          <w:color w:val="000000"/>
          <w:sz w:val="24"/>
          <w:szCs w:val="24"/>
          <w:lang w:val="es-AR"/>
        </w:rPr>
        <w:t>rmació</w:t>
      </w:r>
      <w:r w:rsidRPr="006F54DA">
        <w:rPr>
          <w:rFonts w:ascii="Garamond" w:hAnsi="Garamond" w:cs="Arial"/>
          <w:b/>
          <w:bCs/>
          <w:color w:val="000000"/>
          <w:spacing w:val="-4"/>
          <w:sz w:val="24"/>
          <w:szCs w:val="24"/>
          <w:lang w:val="es-AR"/>
        </w:rPr>
        <w:t>n</w:t>
      </w:r>
      <w:r w:rsidRPr="006F54DA">
        <w:rPr>
          <w:rFonts w:ascii="Garamond" w:hAnsi="Garamond" w:cs="Arial"/>
          <w:b/>
          <w:bCs/>
          <w:color w:val="000000"/>
          <w:sz w:val="24"/>
          <w:szCs w:val="24"/>
          <w:lang w:val="es-AR"/>
        </w:rPr>
        <w:t xml:space="preserve"> obj</w:t>
      </w:r>
      <w:r w:rsidRPr="006F54DA">
        <w:rPr>
          <w:rFonts w:ascii="Garamond" w:hAnsi="Garamond" w:cs="Arial"/>
          <w:b/>
          <w:bCs/>
          <w:color w:val="000000"/>
          <w:spacing w:val="-3"/>
          <w:sz w:val="24"/>
          <w:szCs w:val="24"/>
          <w:lang w:val="es-AR"/>
        </w:rPr>
        <w:t>e</w:t>
      </w:r>
      <w:r w:rsidRPr="006F54DA">
        <w:rPr>
          <w:rFonts w:ascii="Garamond" w:hAnsi="Garamond" w:cs="Arial"/>
          <w:b/>
          <w:bCs/>
          <w:color w:val="000000"/>
          <w:sz w:val="24"/>
          <w:szCs w:val="24"/>
          <w:lang w:val="es-AR"/>
        </w:rPr>
        <w:t>to d</w:t>
      </w:r>
      <w:r w:rsidRPr="006F54DA">
        <w:rPr>
          <w:rFonts w:ascii="Garamond" w:hAnsi="Garamond" w:cs="Arial"/>
          <w:b/>
          <w:bCs/>
          <w:color w:val="000000"/>
          <w:spacing w:val="-3"/>
          <w:sz w:val="24"/>
          <w:szCs w:val="24"/>
          <w:lang w:val="es-AR"/>
        </w:rPr>
        <w:t>e</w:t>
      </w:r>
      <w:r w:rsidRPr="006F54DA">
        <w:rPr>
          <w:rFonts w:ascii="Garamond" w:hAnsi="Garamond" w:cs="Arial"/>
          <w:b/>
          <w:bCs/>
          <w:color w:val="000000"/>
          <w:sz w:val="24"/>
          <w:szCs w:val="24"/>
          <w:lang w:val="es-AR"/>
        </w:rPr>
        <w:t>l en</w:t>
      </w:r>
      <w:r w:rsidRPr="006F54DA">
        <w:rPr>
          <w:rFonts w:ascii="Garamond" w:hAnsi="Garamond" w:cs="Arial"/>
          <w:b/>
          <w:bCs/>
          <w:color w:val="000000"/>
          <w:spacing w:val="-3"/>
          <w:sz w:val="24"/>
          <w:szCs w:val="24"/>
          <w:lang w:val="es-AR"/>
        </w:rPr>
        <w:t>c</w:t>
      </w:r>
      <w:r w:rsidRPr="006F54DA">
        <w:rPr>
          <w:rFonts w:ascii="Garamond" w:hAnsi="Garamond" w:cs="Arial"/>
          <w:b/>
          <w:bCs/>
          <w:color w:val="000000"/>
          <w:sz w:val="24"/>
          <w:szCs w:val="24"/>
          <w:lang w:val="es-AR"/>
        </w:rPr>
        <w:t>argo</w:t>
      </w:r>
    </w:p>
    <w:p w:rsidR="00606D83" w:rsidRPr="006F54DA" w:rsidRDefault="00606D83" w:rsidP="003B1181">
      <w:pPr>
        <w:jc w:val="both"/>
        <w:rPr>
          <w:rFonts w:ascii="Garamond" w:hAnsi="Garamond"/>
          <w:color w:val="010302"/>
          <w:sz w:val="24"/>
          <w:szCs w:val="24"/>
          <w:lang w:val="es-AR"/>
        </w:rPr>
      </w:pPr>
    </w:p>
    <w:p w:rsidR="00606D83" w:rsidRPr="006F54DA" w:rsidRDefault="00606D83" w:rsidP="003B1181">
      <w:pPr>
        <w:ind w:left="357"/>
        <w:jc w:val="both"/>
        <w:rPr>
          <w:rFonts w:ascii="Garamond" w:hAnsi="Garamond" w:cs="Arial"/>
          <w:color w:val="000000"/>
          <w:sz w:val="24"/>
          <w:szCs w:val="24"/>
          <w:lang w:val="es-AR"/>
        </w:rPr>
      </w:pPr>
      <w:r w:rsidRPr="006F54DA">
        <w:rPr>
          <w:rFonts w:ascii="Garamond" w:hAnsi="Garamond" w:cs="Arial"/>
          <w:color w:val="000000"/>
          <w:sz w:val="24"/>
          <w:szCs w:val="24"/>
          <w:lang w:val="es-AR"/>
        </w:rPr>
        <w:t>Hemos sido contratados por ABCD (en adelante, “la Sociedad”)</w:t>
      </w:r>
      <w:r>
        <w:rPr>
          <w:rFonts w:ascii="Garamond" w:hAnsi="Garamond" w:cs="Arial"/>
          <w:color w:val="000000"/>
          <w:sz w:val="24"/>
          <w:szCs w:val="24"/>
          <w:lang w:val="es-AR"/>
        </w:rPr>
        <w:t>,</w:t>
      </w:r>
      <w:r w:rsidRPr="006F54DA">
        <w:rPr>
          <w:rFonts w:ascii="Garamond" w:hAnsi="Garamond" w:cs="Arial"/>
          <w:color w:val="000000"/>
          <w:sz w:val="24"/>
          <w:szCs w:val="24"/>
          <w:lang w:val="es-AR"/>
        </w:rPr>
        <w:t xml:space="preserve"> para emitir un </w:t>
      </w:r>
      <w:r>
        <w:rPr>
          <w:rFonts w:ascii="Garamond" w:hAnsi="Garamond" w:cs="Arial"/>
          <w:color w:val="000000"/>
          <w:sz w:val="24"/>
          <w:szCs w:val="24"/>
          <w:lang w:val="es-AR"/>
        </w:rPr>
        <w:t>I</w:t>
      </w:r>
      <w:r w:rsidRPr="006F54DA">
        <w:rPr>
          <w:rFonts w:ascii="Garamond" w:hAnsi="Garamond" w:cs="Arial"/>
          <w:color w:val="000000"/>
          <w:sz w:val="24"/>
          <w:szCs w:val="24"/>
          <w:lang w:val="es-AR"/>
        </w:rPr>
        <w:t xml:space="preserve">nforme </w:t>
      </w:r>
      <w:r>
        <w:rPr>
          <w:rFonts w:ascii="Garamond" w:hAnsi="Garamond" w:cs="Arial"/>
          <w:color w:val="000000"/>
          <w:sz w:val="24"/>
          <w:szCs w:val="24"/>
          <w:lang w:val="es-AR"/>
        </w:rPr>
        <w:t>E</w:t>
      </w:r>
      <w:r w:rsidRPr="006F54DA">
        <w:rPr>
          <w:rFonts w:ascii="Garamond" w:hAnsi="Garamond" w:cs="Arial"/>
          <w:color w:val="000000"/>
          <w:sz w:val="24"/>
          <w:szCs w:val="24"/>
          <w:lang w:val="es-AR"/>
        </w:rPr>
        <w:t>special sobre el balance especial al 18 de diciembre 2020 incluido en el Anexo I adjunto, que fue preparado por la Sociedad para dar cumplimiento al artículo 1° del Decreto Reglamentario N° 42/2021 y para permitir a sus …. [</w:t>
      </w:r>
      <w:r w:rsidRPr="000E569E">
        <w:rPr>
          <w:rFonts w:ascii="Garamond" w:hAnsi="Garamond" w:cs="Arial"/>
          <w:i/>
          <w:iCs/>
          <w:color w:val="000000"/>
          <w:sz w:val="24"/>
          <w:szCs w:val="24"/>
          <w:lang w:val="es-AR"/>
        </w:rPr>
        <w:t>indicar accionistas/socios</w:t>
      </w:r>
      <w:r w:rsidRPr="006F54DA">
        <w:rPr>
          <w:rFonts w:ascii="Garamond" w:hAnsi="Garamond" w:cs="Arial"/>
          <w:color w:val="000000"/>
          <w:sz w:val="24"/>
          <w:szCs w:val="24"/>
          <w:lang w:val="es-AR"/>
        </w:rPr>
        <w:t>] valuar sus… [</w:t>
      </w:r>
      <w:r w:rsidRPr="000E569E">
        <w:rPr>
          <w:rFonts w:ascii="Garamond" w:hAnsi="Garamond" w:cs="Arial"/>
          <w:i/>
          <w:iCs/>
          <w:color w:val="000000"/>
          <w:sz w:val="24"/>
          <w:szCs w:val="24"/>
          <w:lang w:val="es-AR"/>
        </w:rPr>
        <w:t>indicar acciones/participaciones</w:t>
      </w:r>
      <w:r w:rsidRPr="006F54DA">
        <w:rPr>
          <w:rFonts w:ascii="Garamond" w:hAnsi="Garamond" w:cs="Arial"/>
          <w:color w:val="000000"/>
          <w:sz w:val="24"/>
          <w:szCs w:val="24"/>
          <w:lang w:val="es-AR"/>
        </w:rPr>
        <w:t xml:space="preserve">] a esa fecha, a efectos de cumplimentar la obligación establecida en la Ley N° 27.605 de “Aporte solidario y extraordinario para ayudar a morigerar los efectos de la pandemia”. Hemos inicialado el Anexo I adjunto, a los efectos de su identificación con este </w:t>
      </w:r>
      <w:r>
        <w:rPr>
          <w:rFonts w:ascii="Garamond" w:hAnsi="Garamond" w:cs="Arial"/>
          <w:color w:val="000000"/>
          <w:sz w:val="24"/>
          <w:szCs w:val="24"/>
          <w:lang w:val="es-AR"/>
        </w:rPr>
        <w:t>I</w:t>
      </w:r>
      <w:r w:rsidRPr="006F54DA">
        <w:rPr>
          <w:rFonts w:ascii="Garamond" w:hAnsi="Garamond" w:cs="Arial"/>
          <w:color w:val="000000"/>
          <w:sz w:val="24"/>
          <w:szCs w:val="24"/>
          <w:lang w:val="es-AR"/>
        </w:rPr>
        <w:t xml:space="preserve">nforme </w:t>
      </w:r>
      <w:r>
        <w:rPr>
          <w:rFonts w:ascii="Garamond" w:hAnsi="Garamond" w:cs="Arial"/>
          <w:color w:val="000000"/>
          <w:sz w:val="24"/>
          <w:szCs w:val="24"/>
          <w:lang w:val="es-AR"/>
        </w:rPr>
        <w:t>E</w:t>
      </w:r>
      <w:r w:rsidRPr="006F54DA">
        <w:rPr>
          <w:rFonts w:ascii="Garamond" w:hAnsi="Garamond" w:cs="Arial"/>
          <w:color w:val="000000"/>
          <w:sz w:val="24"/>
          <w:szCs w:val="24"/>
          <w:lang w:val="es-AR"/>
        </w:rPr>
        <w:t>special.</w:t>
      </w:r>
    </w:p>
    <w:p w:rsidR="00606D83" w:rsidRPr="003B1181" w:rsidRDefault="00606D83" w:rsidP="003B1181">
      <w:pPr>
        <w:jc w:val="both"/>
        <w:rPr>
          <w:rFonts w:ascii="Garamond" w:hAnsi="Garamond"/>
          <w:color w:val="000000"/>
          <w:sz w:val="24"/>
          <w:szCs w:val="24"/>
          <w:lang w:val="es-AR"/>
        </w:rPr>
      </w:pPr>
    </w:p>
    <w:p w:rsidR="00606D83" w:rsidRPr="003B1181" w:rsidRDefault="00606D83" w:rsidP="00DE6C64">
      <w:pPr>
        <w:pStyle w:val="ListParagraph"/>
        <w:numPr>
          <w:ilvl w:val="0"/>
          <w:numId w:val="14"/>
        </w:numPr>
        <w:ind w:left="357" w:hanging="357"/>
        <w:jc w:val="both"/>
        <w:rPr>
          <w:rFonts w:ascii="Garamond" w:hAnsi="Garamond" w:cs="Arial"/>
          <w:b/>
          <w:bCs/>
          <w:color w:val="000000"/>
          <w:sz w:val="24"/>
          <w:szCs w:val="24"/>
          <w:lang w:val="es-AR"/>
        </w:rPr>
      </w:pPr>
      <w:r w:rsidRPr="003B1181">
        <w:rPr>
          <w:rFonts w:ascii="Garamond" w:hAnsi="Garamond" w:cs="Arial"/>
          <w:b/>
          <w:bCs/>
          <w:color w:val="000000"/>
          <w:sz w:val="24"/>
          <w:szCs w:val="24"/>
          <w:lang w:val="es-AR"/>
        </w:rPr>
        <w:t>Responsabilidad del Directorio</w:t>
      </w:r>
      <w:r>
        <w:rPr>
          <w:rStyle w:val="FootnoteReference"/>
          <w:rFonts w:ascii="Garamond" w:hAnsi="Garamond" w:cs="Arial"/>
          <w:b/>
          <w:bCs/>
          <w:color w:val="000000"/>
          <w:sz w:val="24"/>
          <w:szCs w:val="24"/>
          <w:lang w:val="es-AR"/>
        </w:rPr>
        <w:footnoteReference w:id="3"/>
      </w:r>
      <w:r w:rsidRPr="003B1181">
        <w:rPr>
          <w:rFonts w:ascii="Garamond" w:hAnsi="Garamond" w:cs="Arial"/>
          <w:b/>
          <w:bCs/>
          <w:color w:val="000000"/>
          <w:sz w:val="24"/>
          <w:szCs w:val="24"/>
          <w:lang w:val="es-AR"/>
        </w:rPr>
        <w:t xml:space="preserve"> de la Sociedad en relación con la </w:t>
      </w:r>
      <w:r>
        <w:rPr>
          <w:rFonts w:ascii="Garamond" w:hAnsi="Garamond" w:cs="Arial"/>
          <w:b/>
          <w:bCs/>
          <w:color w:val="000000"/>
          <w:sz w:val="24"/>
          <w:szCs w:val="24"/>
          <w:lang w:val="es-AR"/>
        </w:rPr>
        <w:t>i</w:t>
      </w:r>
      <w:r w:rsidRPr="003B1181">
        <w:rPr>
          <w:rFonts w:ascii="Garamond" w:hAnsi="Garamond" w:cs="Arial"/>
          <w:b/>
          <w:bCs/>
          <w:color w:val="000000"/>
          <w:sz w:val="24"/>
          <w:szCs w:val="24"/>
          <w:lang w:val="es-AR"/>
        </w:rPr>
        <w:t>nformación objeto del encargo</w:t>
      </w:r>
    </w:p>
    <w:p w:rsidR="00606D83" w:rsidRPr="003B1181" w:rsidRDefault="00606D83" w:rsidP="003B1181">
      <w:pPr>
        <w:jc w:val="both"/>
        <w:rPr>
          <w:rFonts w:ascii="Garamond" w:hAnsi="Garamond" w:cs="Arial"/>
          <w:color w:val="000000"/>
          <w:sz w:val="24"/>
          <w:szCs w:val="24"/>
          <w:lang w:val="es-AR"/>
        </w:rPr>
      </w:pPr>
    </w:p>
    <w:p w:rsidR="00606D83" w:rsidRPr="006F54DA" w:rsidRDefault="00606D83" w:rsidP="003B1181">
      <w:pPr>
        <w:ind w:left="357"/>
        <w:jc w:val="both"/>
        <w:rPr>
          <w:rFonts w:ascii="Garamond" w:hAnsi="Garamond" w:cs="Arial"/>
          <w:color w:val="000000"/>
          <w:sz w:val="24"/>
          <w:szCs w:val="24"/>
          <w:lang w:val="es-AR"/>
        </w:rPr>
      </w:pPr>
      <w:r w:rsidRPr="006F54DA">
        <w:rPr>
          <w:rFonts w:ascii="Garamond" w:hAnsi="Garamond" w:cs="Arial"/>
          <w:color w:val="000000"/>
          <w:sz w:val="24"/>
          <w:szCs w:val="24"/>
          <w:lang w:val="es-AR"/>
        </w:rPr>
        <w:t>El Directorio</w:t>
      </w:r>
      <w:r>
        <w:rPr>
          <w:rStyle w:val="FootnoteReference"/>
          <w:rFonts w:ascii="Garamond" w:hAnsi="Garamond" w:cs="Arial"/>
          <w:color w:val="000000"/>
          <w:sz w:val="24"/>
          <w:szCs w:val="24"/>
          <w:lang w:val="es-AR"/>
        </w:rPr>
        <w:footnoteReference w:id="4"/>
      </w:r>
      <w:r w:rsidRPr="006F54DA">
        <w:rPr>
          <w:rFonts w:ascii="Garamond" w:hAnsi="Garamond" w:cs="Arial"/>
          <w:color w:val="000000"/>
          <w:sz w:val="24"/>
          <w:szCs w:val="24"/>
          <w:lang w:val="es-AR"/>
        </w:rPr>
        <w:t xml:space="preserve"> de la Sociedad es responsable de la preparación y presentación de la Información objeto del encargo</w:t>
      </w:r>
      <w:r>
        <w:rPr>
          <w:rFonts w:ascii="Garamond" w:hAnsi="Garamond" w:cs="Arial"/>
          <w:color w:val="000000"/>
          <w:sz w:val="24"/>
          <w:szCs w:val="24"/>
          <w:lang w:val="es-AR"/>
        </w:rPr>
        <w:t>,</w:t>
      </w:r>
      <w:r w:rsidRPr="006F54DA">
        <w:rPr>
          <w:rFonts w:ascii="Garamond" w:hAnsi="Garamond" w:cs="Arial"/>
          <w:color w:val="000000"/>
          <w:sz w:val="24"/>
          <w:szCs w:val="24"/>
          <w:lang w:val="es-AR"/>
        </w:rPr>
        <w:t xml:space="preserve"> de acuerdo con la base contable que describe en la Nota </w:t>
      </w:r>
      <w:r>
        <w:rPr>
          <w:rFonts w:ascii="Garamond" w:hAnsi="Garamond" w:cs="Arial"/>
          <w:color w:val="000000"/>
          <w:sz w:val="24"/>
          <w:szCs w:val="24"/>
          <w:lang w:val="es-AR"/>
        </w:rPr>
        <w:t>x</w:t>
      </w:r>
      <w:r w:rsidRPr="006F54DA">
        <w:rPr>
          <w:rFonts w:ascii="Garamond" w:hAnsi="Garamond" w:cs="Arial"/>
          <w:color w:val="000000"/>
          <w:sz w:val="24"/>
          <w:szCs w:val="24"/>
          <w:lang w:val="es-AR"/>
        </w:rPr>
        <w:t>x al balance especial adjunto, para la finalidad mencionada en el párrafo 1.</w:t>
      </w:r>
    </w:p>
    <w:p w:rsidR="00606D83" w:rsidRPr="006F54DA" w:rsidRDefault="00606D83" w:rsidP="003B1181">
      <w:pPr>
        <w:jc w:val="both"/>
        <w:rPr>
          <w:rFonts w:ascii="Garamond" w:hAnsi="Garamond"/>
          <w:color w:val="000000"/>
          <w:sz w:val="24"/>
          <w:szCs w:val="24"/>
          <w:lang w:val="es-AR"/>
        </w:rPr>
      </w:pPr>
    </w:p>
    <w:p w:rsidR="00606D83" w:rsidRPr="003B1181" w:rsidRDefault="00606D83" w:rsidP="00DE6C64">
      <w:pPr>
        <w:pStyle w:val="ListParagraph"/>
        <w:numPr>
          <w:ilvl w:val="0"/>
          <w:numId w:val="14"/>
        </w:numPr>
        <w:ind w:left="357" w:hanging="357"/>
        <w:jc w:val="both"/>
        <w:rPr>
          <w:rFonts w:ascii="Garamond" w:hAnsi="Garamond" w:cs="Arial"/>
          <w:b/>
          <w:bCs/>
          <w:color w:val="000000"/>
          <w:sz w:val="24"/>
          <w:szCs w:val="24"/>
          <w:lang w:val="es-AR"/>
        </w:rPr>
      </w:pPr>
      <w:r w:rsidRPr="003B1181">
        <w:rPr>
          <w:rFonts w:ascii="Garamond" w:hAnsi="Garamond" w:cs="Arial"/>
          <w:b/>
          <w:bCs/>
          <w:color w:val="000000"/>
          <w:sz w:val="24"/>
          <w:szCs w:val="24"/>
          <w:lang w:val="es-AR"/>
        </w:rPr>
        <w:t>Responsabilidad del contador público</w:t>
      </w:r>
    </w:p>
    <w:p w:rsidR="00606D83" w:rsidRPr="003B1181" w:rsidRDefault="00606D83" w:rsidP="003B1181">
      <w:pPr>
        <w:spacing w:line="246" w:lineRule="exact"/>
        <w:jc w:val="both"/>
        <w:rPr>
          <w:rFonts w:ascii="Garamond" w:hAnsi="Garamond" w:cs="Arial"/>
          <w:color w:val="000000"/>
          <w:sz w:val="24"/>
          <w:szCs w:val="24"/>
          <w:lang w:val="es-AR"/>
        </w:rPr>
      </w:pPr>
    </w:p>
    <w:p w:rsidR="00606D83" w:rsidRPr="006F54DA" w:rsidRDefault="00606D83" w:rsidP="003B1181">
      <w:pPr>
        <w:spacing w:line="246" w:lineRule="exact"/>
        <w:ind w:left="357"/>
        <w:jc w:val="both"/>
        <w:rPr>
          <w:rFonts w:ascii="Garamond" w:hAnsi="Garamond" w:cs="Arial"/>
          <w:color w:val="000000"/>
          <w:sz w:val="24"/>
          <w:szCs w:val="24"/>
          <w:lang w:val="es-AR"/>
        </w:rPr>
      </w:pPr>
      <w:r w:rsidRPr="006F54DA">
        <w:rPr>
          <w:rFonts w:ascii="Garamond" w:hAnsi="Garamond" w:cs="Arial"/>
          <w:color w:val="000000"/>
          <w:sz w:val="24"/>
          <w:szCs w:val="24"/>
          <w:lang w:val="es-AR"/>
        </w:rPr>
        <w:t>Nuestra responsabilidad consiste en la emisión del presente informe especial, basado en nuestra tarea profesional, que se detalla en el capítulo 4 siguiente.</w:t>
      </w:r>
    </w:p>
    <w:p w:rsidR="00606D83" w:rsidRPr="006F54DA" w:rsidRDefault="00606D83" w:rsidP="00D233E4">
      <w:pPr>
        <w:jc w:val="both"/>
        <w:rPr>
          <w:rFonts w:ascii="Garamond" w:hAnsi="Garamond"/>
          <w:color w:val="000000"/>
          <w:sz w:val="24"/>
          <w:szCs w:val="24"/>
          <w:lang w:val="es-AR"/>
        </w:rPr>
      </w:pPr>
    </w:p>
    <w:p w:rsidR="00606D83" w:rsidRPr="003B1181" w:rsidRDefault="00606D83" w:rsidP="00DE6C64">
      <w:pPr>
        <w:pStyle w:val="ListParagraph"/>
        <w:numPr>
          <w:ilvl w:val="0"/>
          <w:numId w:val="14"/>
        </w:numPr>
        <w:ind w:left="357" w:hanging="357"/>
        <w:jc w:val="both"/>
        <w:rPr>
          <w:rFonts w:ascii="Garamond" w:hAnsi="Garamond" w:cs="Arial"/>
          <w:b/>
          <w:bCs/>
          <w:color w:val="000000"/>
          <w:sz w:val="24"/>
          <w:szCs w:val="24"/>
          <w:lang w:val="es-AR"/>
        </w:rPr>
      </w:pPr>
      <w:r w:rsidRPr="003B1181">
        <w:rPr>
          <w:rFonts w:ascii="Garamond" w:hAnsi="Garamond" w:cs="Arial"/>
          <w:b/>
          <w:bCs/>
          <w:color w:val="000000"/>
          <w:sz w:val="24"/>
          <w:szCs w:val="24"/>
          <w:lang w:val="es-AR"/>
        </w:rPr>
        <w:t>Tarea pr</w:t>
      </w:r>
      <w:r w:rsidRPr="003B1181">
        <w:rPr>
          <w:rFonts w:ascii="Garamond" w:hAnsi="Garamond" w:cs="Arial"/>
          <w:b/>
          <w:bCs/>
          <w:color w:val="000000"/>
          <w:spacing w:val="-3"/>
          <w:sz w:val="24"/>
          <w:szCs w:val="24"/>
          <w:lang w:val="es-AR"/>
        </w:rPr>
        <w:t>o</w:t>
      </w:r>
      <w:r w:rsidRPr="003B1181">
        <w:rPr>
          <w:rFonts w:ascii="Garamond" w:hAnsi="Garamond" w:cs="Arial"/>
          <w:b/>
          <w:bCs/>
          <w:color w:val="000000"/>
          <w:sz w:val="24"/>
          <w:szCs w:val="24"/>
          <w:lang w:val="es-AR"/>
        </w:rPr>
        <w:t>fesion</w:t>
      </w:r>
      <w:r w:rsidRPr="003B1181">
        <w:rPr>
          <w:rFonts w:ascii="Garamond" w:hAnsi="Garamond" w:cs="Arial"/>
          <w:b/>
          <w:bCs/>
          <w:color w:val="000000"/>
          <w:spacing w:val="-3"/>
          <w:sz w:val="24"/>
          <w:szCs w:val="24"/>
          <w:lang w:val="es-AR"/>
        </w:rPr>
        <w:t>a</w:t>
      </w:r>
      <w:r w:rsidRPr="003B1181">
        <w:rPr>
          <w:rFonts w:ascii="Garamond" w:hAnsi="Garamond" w:cs="Arial"/>
          <w:b/>
          <w:bCs/>
          <w:color w:val="000000"/>
          <w:sz w:val="24"/>
          <w:szCs w:val="24"/>
          <w:lang w:val="es-AR"/>
        </w:rPr>
        <w:t>l</w:t>
      </w:r>
    </w:p>
    <w:p w:rsidR="00606D83" w:rsidRPr="006F54DA" w:rsidRDefault="00606D83" w:rsidP="003B1181">
      <w:pPr>
        <w:rPr>
          <w:rFonts w:ascii="Garamond" w:hAnsi="Garamond"/>
          <w:color w:val="010302"/>
          <w:sz w:val="24"/>
          <w:szCs w:val="24"/>
          <w:lang w:val="es-AR"/>
        </w:rPr>
      </w:pPr>
    </w:p>
    <w:p w:rsidR="00606D83" w:rsidRDefault="00606D83" w:rsidP="000E569E">
      <w:pPr>
        <w:ind w:left="357"/>
        <w:jc w:val="both"/>
        <w:rPr>
          <w:rFonts w:ascii="Garamond" w:hAnsi="Garamond" w:cs="Arial"/>
          <w:color w:val="000000"/>
          <w:sz w:val="24"/>
          <w:szCs w:val="24"/>
          <w:lang w:val="es-AR"/>
        </w:rPr>
      </w:pPr>
      <w:r w:rsidRPr="006F54DA">
        <w:rPr>
          <w:rFonts w:ascii="Garamond" w:hAnsi="Garamond" w:cs="Arial"/>
          <w:color w:val="000000"/>
          <w:sz w:val="24"/>
          <w:szCs w:val="24"/>
          <w:lang w:val="es-AR"/>
        </w:rPr>
        <w:t>Nuestra tarea profesional fue desarrollada de conformidad con las normas sobre informes especiales establecidas en la sección VII.C de la segunda parte de la Resolución Técnica N° 37 de la Federación Argentina de Consejos Profesionales de Ciencias Económicas (en adelante, “RT 37”). Las normas de la RT 37 exigen que cumplamos los requerimientos de ética, así como que planifiquemos y ejecutemos nuestra tarea de tal forma que nos permita emitir el presente informe especial.</w:t>
      </w:r>
    </w:p>
    <w:p w:rsidR="00606D83" w:rsidRDefault="00606D83" w:rsidP="000E569E">
      <w:pPr>
        <w:jc w:val="both"/>
        <w:rPr>
          <w:lang w:val="es-AR"/>
        </w:rPr>
      </w:pPr>
    </w:p>
    <w:p w:rsidR="00606D83" w:rsidRDefault="00606D83" w:rsidP="003B1181">
      <w:pPr>
        <w:ind w:left="357"/>
        <w:jc w:val="both"/>
        <w:rPr>
          <w:rFonts w:ascii="Garamond" w:hAnsi="Garamond" w:cs="Arial"/>
          <w:color w:val="000000"/>
          <w:sz w:val="24"/>
          <w:szCs w:val="24"/>
          <w:lang w:val="es-AR"/>
        </w:rPr>
      </w:pPr>
      <w:r w:rsidRPr="006F54DA">
        <w:rPr>
          <w:rFonts w:ascii="Garamond" w:hAnsi="Garamond" w:cs="Arial"/>
          <w:color w:val="000000"/>
          <w:sz w:val="24"/>
          <w:szCs w:val="24"/>
          <w:lang w:val="es-AR"/>
        </w:rPr>
        <w:t xml:space="preserve">En un encargo para emitir un </w:t>
      </w:r>
      <w:r>
        <w:rPr>
          <w:rFonts w:ascii="Garamond" w:hAnsi="Garamond" w:cs="Arial"/>
          <w:color w:val="000000"/>
          <w:sz w:val="24"/>
          <w:szCs w:val="24"/>
          <w:lang w:val="es-AR"/>
        </w:rPr>
        <w:t>I</w:t>
      </w:r>
      <w:r w:rsidRPr="006F54DA">
        <w:rPr>
          <w:rFonts w:ascii="Garamond" w:hAnsi="Garamond" w:cs="Arial"/>
          <w:color w:val="000000"/>
          <w:sz w:val="24"/>
          <w:szCs w:val="24"/>
          <w:lang w:val="es-AR"/>
        </w:rPr>
        <w:t xml:space="preserve">nforme </w:t>
      </w:r>
      <w:r>
        <w:rPr>
          <w:rFonts w:ascii="Garamond" w:hAnsi="Garamond" w:cs="Arial"/>
          <w:color w:val="000000"/>
          <w:sz w:val="24"/>
          <w:szCs w:val="24"/>
          <w:lang w:val="es-AR"/>
        </w:rPr>
        <w:t>E</w:t>
      </w:r>
      <w:r w:rsidRPr="006F54DA">
        <w:rPr>
          <w:rFonts w:ascii="Garamond" w:hAnsi="Garamond" w:cs="Arial"/>
          <w:color w:val="000000"/>
          <w:sz w:val="24"/>
          <w:szCs w:val="24"/>
          <w:lang w:val="es-AR"/>
        </w:rPr>
        <w:t>special, los contadores aplican una serie de procedimientos para verificar el cumplimiento por parte de la entidad de determinados requerimientos del organismo de control, y se limitan a dar una manifestación de hallazgos sobre la base de los resultados obtenidos de esos procedimientos. Este servicio mejora la confiabilidad de la información objeto del trabajo, al estar acompañada por una manifestación profesional independiente que es diferente de la de los encargos de aseguramiento incluidos en los Capítulos III, IV y V de la RT 37. Si hubiéramos realizado procedimientos adicionales a los detallados más abajo, una auditoría o una revisión, podrían haber salido a la luz otras cuestiones que hubiesen sido informadas.</w:t>
      </w:r>
    </w:p>
    <w:p w:rsidR="00606D83" w:rsidRPr="006F54DA" w:rsidRDefault="00606D83" w:rsidP="003B1181">
      <w:pPr>
        <w:jc w:val="both"/>
        <w:rPr>
          <w:rFonts w:ascii="Garamond" w:hAnsi="Garamond" w:cs="Arial"/>
          <w:color w:val="000000"/>
          <w:sz w:val="24"/>
          <w:szCs w:val="24"/>
          <w:lang w:val="es-AR"/>
        </w:rPr>
      </w:pPr>
    </w:p>
    <w:p w:rsidR="00606D83" w:rsidRPr="006F54DA" w:rsidRDefault="00606D83" w:rsidP="003B1181">
      <w:pPr>
        <w:ind w:left="357"/>
        <w:jc w:val="both"/>
        <w:rPr>
          <w:rFonts w:ascii="Garamond" w:hAnsi="Garamond" w:cs="Arial"/>
          <w:color w:val="000000"/>
          <w:sz w:val="24"/>
          <w:szCs w:val="24"/>
          <w:lang w:val="es-AR"/>
        </w:rPr>
      </w:pPr>
      <w:r w:rsidRPr="006F54DA">
        <w:rPr>
          <w:rFonts w:ascii="Garamond" w:hAnsi="Garamond" w:cs="Arial"/>
          <w:color w:val="000000"/>
          <w:sz w:val="24"/>
          <w:szCs w:val="24"/>
          <w:lang w:val="es-AR"/>
        </w:rPr>
        <w:t>Los procedimientos detallados a continuación han sido aplicados sobre los registros y la documentación que nos fueron suministrados por la Sociedad. Nuestra tarea se basó en la premisa de que la información proporcionada es precisa, completa, extrínsecamente legítima y libre de fraudes y otros actos ilegales, para lo cual hemos tenido en cuenta su apariencia y estructura formal.</w:t>
      </w:r>
    </w:p>
    <w:p w:rsidR="00606D83" w:rsidRDefault="00606D83" w:rsidP="003B1181">
      <w:pPr>
        <w:jc w:val="both"/>
        <w:rPr>
          <w:rFonts w:ascii="Garamond" w:hAnsi="Garamond" w:cs="Arial"/>
          <w:color w:val="000000"/>
          <w:sz w:val="24"/>
          <w:szCs w:val="24"/>
          <w:lang w:val="es-AR"/>
        </w:rPr>
      </w:pPr>
    </w:p>
    <w:p w:rsidR="00606D83" w:rsidRPr="006F54DA" w:rsidRDefault="00606D83" w:rsidP="003B1181">
      <w:pPr>
        <w:ind w:firstLine="357"/>
        <w:jc w:val="both"/>
        <w:rPr>
          <w:rFonts w:ascii="Garamond" w:hAnsi="Garamond" w:cs="Arial"/>
          <w:color w:val="000000"/>
          <w:sz w:val="24"/>
          <w:szCs w:val="24"/>
          <w:lang w:val="es-AR"/>
        </w:rPr>
      </w:pPr>
      <w:r w:rsidRPr="006F54DA">
        <w:rPr>
          <w:rFonts w:ascii="Garamond" w:hAnsi="Garamond" w:cs="Arial"/>
          <w:color w:val="000000"/>
          <w:sz w:val="24"/>
          <w:szCs w:val="24"/>
          <w:lang w:val="es-AR"/>
        </w:rPr>
        <w:t>Los procedimientos realizados consistieron únicamente en</w:t>
      </w:r>
      <w:r>
        <w:rPr>
          <w:rStyle w:val="FootnoteReference"/>
          <w:rFonts w:ascii="Garamond" w:hAnsi="Garamond" w:cs="Arial"/>
          <w:color w:val="000000"/>
          <w:sz w:val="24"/>
          <w:szCs w:val="24"/>
          <w:lang w:val="es-AR"/>
        </w:rPr>
        <w:footnoteReference w:id="5"/>
      </w:r>
      <w:r w:rsidRPr="006F54DA">
        <w:rPr>
          <w:rFonts w:ascii="Garamond" w:hAnsi="Garamond" w:cs="Arial"/>
          <w:color w:val="000000"/>
          <w:sz w:val="24"/>
          <w:szCs w:val="24"/>
          <w:lang w:val="es-AR"/>
        </w:rPr>
        <w:t>:</w:t>
      </w:r>
    </w:p>
    <w:p w:rsidR="00606D83" w:rsidRDefault="00606D83" w:rsidP="003B1181">
      <w:pPr>
        <w:jc w:val="both"/>
        <w:rPr>
          <w:rFonts w:ascii="Garamond" w:hAnsi="Garamond" w:cs="Arial"/>
          <w:color w:val="000000"/>
          <w:sz w:val="24"/>
          <w:szCs w:val="24"/>
          <w:lang w:val="es-AR"/>
        </w:rPr>
      </w:pPr>
    </w:p>
    <w:p w:rsidR="00606D83" w:rsidRPr="007E640D" w:rsidRDefault="00606D83" w:rsidP="003B1181">
      <w:pPr>
        <w:ind w:left="357"/>
        <w:jc w:val="both"/>
        <w:rPr>
          <w:rFonts w:ascii="Garamond" w:hAnsi="Garamond" w:cs="Arial"/>
          <w:i/>
          <w:iCs/>
          <w:color w:val="000000"/>
          <w:sz w:val="24"/>
          <w:szCs w:val="24"/>
          <w:lang w:val="es-AR"/>
        </w:rPr>
      </w:pPr>
      <w:r w:rsidRPr="007E640D">
        <w:rPr>
          <w:rFonts w:ascii="Garamond" w:hAnsi="Garamond" w:cs="Arial"/>
          <w:i/>
          <w:iCs/>
          <w:color w:val="000000"/>
          <w:sz w:val="24"/>
          <w:szCs w:val="24"/>
          <w:lang w:val="es-AR"/>
        </w:rPr>
        <w:t>(La siguiente lista es meramente enunciativa y su aplicación dependerá de la naturaleza de los rubros que compongan el balance especial objeto del encargo, del proceso que haya seguido la sociedad para la preparación del balance especial a una fecha distinta a un cierre contable habitual y del criterio del profesional actuante. Los procedimientos redactados en esta sección son meros ejemplos; la redacción de las tareas ejecutadas debe adecuarse a las circunstancias)</w:t>
      </w:r>
    </w:p>
    <w:p w:rsidR="00606D83" w:rsidRPr="006F54DA" w:rsidRDefault="00606D83" w:rsidP="003B1181">
      <w:pPr>
        <w:jc w:val="both"/>
        <w:rPr>
          <w:rFonts w:ascii="Garamond" w:hAnsi="Garamond" w:cs="Arial"/>
          <w:color w:val="000000"/>
          <w:sz w:val="24"/>
          <w:szCs w:val="24"/>
          <w:lang w:val="es-AR"/>
        </w:rPr>
      </w:pPr>
    </w:p>
    <w:p w:rsidR="00606D83" w:rsidRPr="006F54DA" w:rsidRDefault="00606D83" w:rsidP="003B1181">
      <w:pPr>
        <w:ind w:firstLine="357"/>
        <w:jc w:val="both"/>
        <w:rPr>
          <w:rFonts w:ascii="Garamond" w:hAnsi="Garamond" w:cs="Arial"/>
          <w:b/>
          <w:bCs/>
          <w:color w:val="000000"/>
          <w:sz w:val="24"/>
          <w:szCs w:val="24"/>
          <w:lang w:val="es-AR"/>
        </w:rPr>
      </w:pPr>
      <w:r w:rsidRPr="006F54DA">
        <w:rPr>
          <w:rFonts w:ascii="Garamond" w:hAnsi="Garamond" w:cs="Arial"/>
          <w:b/>
          <w:bCs/>
          <w:color w:val="000000"/>
          <w:sz w:val="24"/>
          <w:szCs w:val="24"/>
          <w:lang w:val="es-AR"/>
        </w:rPr>
        <w:t>I. Procedimiento</w:t>
      </w:r>
      <w:r w:rsidRPr="006F54DA">
        <w:rPr>
          <w:rFonts w:ascii="Garamond" w:hAnsi="Garamond" w:cs="Arial"/>
          <w:b/>
          <w:bCs/>
          <w:color w:val="000000"/>
          <w:spacing w:val="-3"/>
          <w:sz w:val="24"/>
          <w:szCs w:val="24"/>
          <w:lang w:val="es-AR"/>
        </w:rPr>
        <w:t>s</w:t>
      </w:r>
      <w:r w:rsidRPr="006F54DA">
        <w:rPr>
          <w:rFonts w:ascii="Garamond" w:hAnsi="Garamond" w:cs="Arial"/>
          <w:b/>
          <w:bCs/>
          <w:color w:val="000000"/>
          <w:sz w:val="24"/>
          <w:szCs w:val="24"/>
          <w:lang w:val="es-AR"/>
        </w:rPr>
        <w:t xml:space="preserve"> general</w:t>
      </w:r>
      <w:r w:rsidRPr="006F54DA">
        <w:rPr>
          <w:rFonts w:ascii="Garamond" w:hAnsi="Garamond" w:cs="Arial"/>
          <w:b/>
          <w:bCs/>
          <w:color w:val="000000"/>
          <w:spacing w:val="-3"/>
          <w:sz w:val="24"/>
          <w:szCs w:val="24"/>
          <w:lang w:val="es-AR"/>
        </w:rPr>
        <w:t>e</w:t>
      </w:r>
      <w:r w:rsidRPr="006F54DA">
        <w:rPr>
          <w:rFonts w:ascii="Garamond" w:hAnsi="Garamond" w:cs="Arial"/>
          <w:b/>
          <w:bCs/>
          <w:color w:val="000000"/>
          <w:sz w:val="24"/>
          <w:szCs w:val="24"/>
          <w:lang w:val="es-AR"/>
        </w:rPr>
        <w:t>s</w:t>
      </w:r>
    </w:p>
    <w:p w:rsidR="00606D83" w:rsidRPr="006F54DA" w:rsidRDefault="00606D83" w:rsidP="003B1181">
      <w:pPr>
        <w:jc w:val="both"/>
        <w:rPr>
          <w:rFonts w:ascii="Garamond" w:hAnsi="Garamond" w:cs="Arial"/>
          <w:color w:val="000000"/>
          <w:sz w:val="24"/>
          <w:szCs w:val="24"/>
          <w:lang w:val="es-AR"/>
        </w:rPr>
      </w:pPr>
    </w:p>
    <w:p w:rsidR="00606D83" w:rsidRDefault="00606D83" w:rsidP="00DE6C64">
      <w:pPr>
        <w:pStyle w:val="NoSpacing"/>
        <w:numPr>
          <w:ilvl w:val="0"/>
          <w:numId w:val="1"/>
        </w:numPr>
        <w:ind w:left="1071" w:hanging="357"/>
        <w:jc w:val="both"/>
        <w:rPr>
          <w:rFonts w:ascii="Garamond" w:eastAsia="ABBvoice CNSG" w:hAnsi="Garamond"/>
          <w:sz w:val="24"/>
          <w:szCs w:val="24"/>
          <w:lang w:val="es-AR"/>
        </w:rPr>
      </w:pPr>
      <w:r w:rsidRPr="006F54DA">
        <w:rPr>
          <w:rFonts w:ascii="Garamond" w:eastAsia="ABBvoice CNSG" w:hAnsi="Garamond"/>
          <w:sz w:val="24"/>
          <w:szCs w:val="24"/>
          <w:lang w:val="es-AR"/>
        </w:rPr>
        <w:t>Actualización del entendimiento de la entidad, su negocio y su sistema de control interno, desde la última auditoría efectuada.</w:t>
      </w:r>
    </w:p>
    <w:p w:rsidR="00606D83" w:rsidRPr="006F54DA" w:rsidRDefault="00606D83" w:rsidP="003B1181">
      <w:pPr>
        <w:pStyle w:val="NoSpacing"/>
        <w:jc w:val="both"/>
        <w:rPr>
          <w:rFonts w:ascii="Garamond" w:eastAsia="ABBvoice CNSG" w:hAnsi="Garamond"/>
          <w:sz w:val="24"/>
          <w:szCs w:val="24"/>
          <w:lang w:val="es-AR"/>
        </w:rPr>
      </w:pPr>
    </w:p>
    <w:p w:rsidR="00606D83" w:rsidRDefault="00606D83" w:rsidP="00DE6C64">
      <w:pPr>
        <w:pStyle w:val="NoSpacing"/>
        <w:numPr>
          <w:ilvl w:val="0"/>
          <w:numId w:val="1"/>
        </w:numPr>
        <w:ind w:left="1071" w:hanging="357"/>
        <w:jc w:val="both"/>
        <w:rPr>
          <w:rFonts w:ascii="Garamond" w:eastAsia="ABBvoice CNSG" w:hAnsi="Garamond"/>
          <w:sz w:val="24"/>
          <w:szCs w:val="24"/>
          <w:lang w:val="es-AR"/>
        </w:rPr>
      </w:pPr>
      <w:r w:rsidRPr="003B1181">
        <w:rPr>
          <w:rFonts w:ascii="Garamond" w:eastAsia="ABBvoice CNSG" w:hAnsi="Garamond"/>
          <w:sz w:val="24"/>
          <w:szCs w:val="24"/>
          <w:lang w:val="es-AR"/>
        </w:rPr>
        <w:t xml:space="preserve">Revisión analítica comparativa entre los saldos patrimoniales al 18 de diciembre de 2020 incluidos en el balance especial y los saldos al </w:t>
      </w:r>
      <w:r>
        <w:rPr>
          <w:rFonts w:ascii="Garamond" w:eastAsia="ABBvoice CNSG" w:hAnsi="Garamond"/>
          <w:sz w:val="24"/>
          <w:szCs w:val="24"/>
          <w:lang w:val="es-AR"/>
        </w:rPr>
        <w:t>dd/mm/aaaa</w:t>
      </w:r>
      <w:r w:rsidRPr="003B1181">
        <w:rPr>
          <w:rFonts w:ascii="Garamond" w:eastAsia="ABBvoice CNSG" w:hAnsi="Garamond"/>
          <w:sz w:val="24"/>
          <w:szCs w:val="24"/>
          <w:lang w:val="es-AR"/>
        </w:rPr>
        <w:t xml:space="preserve"> (que surgen de los últimos estados contables emitidos por la sociedad)</w:t>
      </w:r>
    </w:p>
    <w:p w:rsidR="00606D83" w:rsidRPr="003B1181" w:rsidRDefault="00606D83" w:rsidP="003B1181">
      <w:pPr>
        <w:pStyle w:val="NoSpacing"/>
        <w:jc w:val="both"/>
        <w:rPr>
          <w:rFonts w:ascii="Garamond" w:eastAsia="ABBvoice CNSG" w:hAnsi="Garamond"/>
          <w:sz w:val="24"/>
          <w:szCs w:val="24"/>
          <w:lang w:val="es-AR"/>
        </w:rPr>
      </w:pPr>
    </w:p>
    <w:p w:rsidR="00606D83" w:rsidRDefault="00606D83" w:rsidP="00DE6C64">
      <w:pPr>
        <w:pStyle w:val="NoSpacing"/>
        <w:numPr>
          <w:ilvl w:val="0"/>
          <w:numId w:val="1"/>
        </w:numPr>
        <w:ind w:left="1071" w:hanging="357"/>
        <w:jc w:val="both"/>
        <w:rPr>
          <w:rFonts w:ascii="Garamond" w:eastAsia="ABBvoice CNSG" w:hAnsi="Garamond"/>
          <w:sz w:val="24"/>
          <w:szCs w:val="24"/>
          <w:lang w:val="es-AR"/>
        </w:rPr>
      </w:pPr>
      <w:r w:rsidRPr="006F54DA">
        <w:rPr>
          <w:rFonts w:ascii="Garamond" w:eastAsia="ABBvoice CNSG" w:hAnsi="Garamond"/>
          <w:sz w:val="24"/>
          <w:szCs w:val="24"/>
          <w:lang w:val="es-AR"/>
        </w:rPr>
        <w:t>Verificación de exactitud matemática de las sumas de rubros de activos y pasivos, así como también de la ecuación patrimonial (Patrimonio Neto = Activo total – Pasivo total)</w:t>
      </w:r>
    </w:p>
    <w:p w:rsidR="00606D83" w:rsidRPr="006F54DA" w:rsidRDefault="00606D83" w:rsidP="003B1181">
      <w:pPr>
        <w:pStyle w:val="NoSpacing"/>
        <w:jc w:val="both"/>
        <w:rPr>
          <w:rFonts w:ascii="Garamond" w:eastAsia="ABBvoice CNSG" w:hAnsi="Garamond"/>
          <w:sz w:val="24"/>
          <w:szCs w:val="24"/>
          <w:lang w:val="es-AR"/>
        </w:rPr>
      </w:pPr>
    </w:p>
    <w:p w:rsidR="00606D83" w:rsidRDefault="00606D83" w:rsidP="00DE6C64">
      <w:pPr>
        <w:pStyle w:val="NoSpacing"/>
        <w:numPr>
          <w:ilvl w:val="0"/>
          <w:numId w:val="1"/>
        </w:numPr>
        <w:ind w:left="1071" w:hanging="357"/>
        <w:jc w:val="both"/>
        <w:rPr>
          <w:rFonts w:ascii="Garamond" w:eastAsia="ABBvoice CNSG" w:hAnsi="Garamond"/>
          <w:sz w:val="24"/>
          <w:szCs w:val="24"/>
          <w:lang w:val="es-AR"/>
        </w:rPr>
      </w:pPr>
      <w:r w:rsidRPr="006F54DA">
        <w:rPr>
          <w:rFonts w:ascii="Garamond" w:eastAsia="ABBvoice CNSG" w:hAnsi="Garamond"/>
          <w:sz w:val="24"/>
          <w:szCs w:val="24"/>
          <w:lang w:val="es-AR"/>
        </w:rPr>
        <w:t>Obtención de una carta de manifestaciones de la dirección.</w:t>
      </w:r>
    </w:p>
    <w:p w:rsidR="00606D83" w:rsidRPr="006F54DA" w:rsidRDefault="00606D83" w:rsidP="003B1181">
      <w:pPr>
        <w:pStyle w:val="NoSpacing"/>
        <w:jc w:val="both"/>
        <w:rPr>
          <w:rFonts w:ascii="Garamond" w:eastAsia="ABBvoice CNSG" w:hAnsi="Garamond"/>
          <w:sz w:val="24"/>
          <w:szCs w:val="24"/>
          <w:lang w:val="es-AR"/>
        </w:rPr>
      </w:pPr>
    </w:p>
    <w:p w:rsidR="00606D83" w:rsidRDefault="00606D83" w:rsidP="00DE6C64">
      <w:pPr>
        <w:pStyle w:val="NoSpacing"/>
        <w:numPr>
          <w:ilvl w:val="0"/>
          <w:numId w:val="1"/>
        </w:numPr>
        <w:ind w:left="1071" w:hanging="357"/>
        <w:jc w:val="both"/>
        <w:rPr>
          <w:rFonts w:ascii="Garamond" w:eastAsia="ABBvoice CNSG" w:hAnsi="Garamond"/>
          <w:sz w:val="24"/>
          <w:szCs w:val="24"/>
          <w:lang w:val="es-AR"/>
        </w:rPr>
      </w:pPr>
      <w:r w:rsidRPr="003B1181">
        <w:rPr>
          <w:rFonts w:ascii="Garamond" w:eastAsia="ABBvoice CNSG" w:hAnsi="Garamond"/>
          <w:sz w:val="24"/>
          <w:szCs w:val="24"/>
          <w:lang w:val="es-AR"/>
        </w:rPr>
        <w:t>Comprobación de la aprobación del “balance especial” adjunto por parte del órgano de administración de la entidad, mediante su cotejo con el acta de reunión de Directorio</w:t>
      </w:r>
      <w:r>
        <w:rPr>
          <w:rStyle w:val="FootnoteReference"/>
          <w:rFonts w:ascii="Garamond" w:eastAsia="ABBvoice CNSG" w:hAnsi="Garamond"/>
          <w:sz w:val="24"/>
          <w:szCs w:val="24"/>
          <w:lang w:val="es-AR"/>
        </w:rPr>
        <w:footnoteReference w:id="6"/>
      </w:r>
      <w:r w:rsidRPr="003B1181">
        <w:rPr>
          <w:rFonts w:ascii="Garamond" w:eastAsia="ABBvoice CNSG" w:hAnsi="Garamond"/>
          <w:sz w:val="24"/>
          <w:szCs w:val="24"/>
          <w:lang w:val="es-AR"/>
        </w:rPr>
        <w:t xml:space="preserve"> N°</w:t>
      </w:r>
      <w:r>
        <w:rPr>
          <w:rFonts w:ascii="Garamond" w:eastAsia="ABBvoice CNSG" w:hAnsi="Garamond"/>
          <w:sz w:val="24"/>
          <w:szCs w:val="24"/>
          <w:lang w:val="es-AR"/>
        </w:rPr>
        <w:t xml:space="preserve">… </w:t>
      </w:r>
      <w:r w:rsidRPr="003B1181">
        <w:rPr>
          <w:rFonts w:ascii="Garamond" w:eastAsia="ABBvoice CNSG" w:hAnsi="Garamond"/>
          <w:sz w:val="24"/>
          <w:szCs w:val="24"/>
          <w:lang w:val="es-AR"/>
        </w:rPr>
        <w:t>transcripta en los folios… a… del respectivo libro de actas, rubricado bajo el N°</w:t>
      </w:r>
      <w:r>
        <w:rPr>
          <w:rFonts w:ascii="Garamond" w:eastAsia="ABBvoice CNSG" w:hAnsi="Garamond"/>
          <w:sz w:val="24"/>
          <w:szCs w:val="24"/>
          <w:lang w:val="es-AR"/>
        </w:rPr>
        <w:t>..</w:t>
      </w:r>
      <w:r w:rsidRPr="003B1181">
        <w:rPr>
          <w:rFonts w:ascii="Garamond" w:eastAsia="ABBvoice CNSG" w:hAnsi="Garamond"/>
          <w:sz w:val="24"/>
          <w:szCs w:val="24"/>
          <w:lang w:val="es-AR"/>
        </w:rPr>
        <w:t>. con fecha</w:t>
      </w:r>
      <w:r>
        <w:rPr>
          <w:rFonts w:ascii="Garamond" w:eastAsia="ABBvoice CNSG" w:hAnsi="Garamond"/>
          <w:sz w:val="24"/>
          <w:szCs w:val="24"/>
          <w:lang w:val="es-AR"/>
        </w:rPr>
        <w:t xml:space="preserve"> dd/mm/aaaa.</w:t>
      </w:r>
    </w:p>
    <w:p w:rsidR="00606D83" w:rsidRPr="003B1181" w:rsidRDefault="00606D83" w:rsidP="003B1181">
      <w:pPr>
        <w:pStyle w:val="NoSpacing"/>
        <w:jc w:val="both"/>
        <w:rPr>
          <w:rFonts w:ascii="Garamond" w:eastAsia="ABBvoice CNSG" w:hAnsi="Garamond"/>
          <w:sz w:val="24"/>
          <w:szCs w:val="24"/>
          <w:lang w:val="es-AR"/>
        </w:rPr>
      </w:pPr>
    </w:p>
    <w:p w:rsidR="00606D83" w:rsidRPr="006F54DA" w:rsidRDefault="00606D83" w:rsidP="00DE6C64">
      <w:pPr>
        <w:pStyle w:val="NoSpacing"/>
        <w:numPr>
          <w:ilvl w:val="0"/>
          <w:numId w:val="1"/>
        </w:numPr>
        <w:ind w:left="1071" w:hanging="357"/>
        <w:jc w:val="both"/>
        <w:rPr>
          <w:rFonts w:ascii="Garamond" w:eastAsia="ABBvoice CNSG" w:hAnsi="Garamond"/>
          <w:sz w:val="24"/>
          <w:szCs w:val="24"/>
          <w:lang w:val="es-AR"/>
        </w:rPr>
      </w:pPr>
      <w:r w:rsidRPr="006F54DA">
        <w:rPr>
          <w:rFonts w:ascii="Garamond" w:eastAsia="ABBvoice CNSG" w:hAnsi="Garamond"/>
          <w:sz w:val="24"/>
          <w:szCs w:val="24"/>
          <w:lang w:val="es-AR"/>
        </w:rPr>
        <w:t xml:space="preserve">Comprobación de la transcripción del “balance </w:t>
      </w:r>
      <w:r>
        <w:rPr>
          <w:rFonts w:ascii="Garamond" w:eastAsia="ABBvoice CNSG" w:hAnsi="Garamond"/>
          <w:sz w:val="24"/>
          <w:szCs w:val="24"/>
          <w:lang w:val="es-AR"/>
        </w:rPr>
        <w:t>especi</w:t>
      </w:r>
      <w:r w:rsidRPr="006F54DA">
        <w:rPr>
          <w:rFonts w:ascii="Garamond" w:eastAsia="ABBvoice CNSG" w:hAnsi="Garamond"/>
          <w:sz w:val="24"/>
          <w:szCs w:val="24"/>
          <w:lang w:val="es-AR"/>
        </w:rPr>
        <w:t>al” adjunto en los folios el libro… a… del libro Inventarios y balances N°</w:t>
      </w:r>
      <w:r>
        <w:rPr>
          <w:rFonts w:ascii="Garamond" w:eastAsia="ABBvoice CNSG" w:hAnsi="Garamond"/>
          <w:sz w:val="24"/>
          <w:szCs w:val="24"/>
          <w:lang w:val="es-AR"/>
        </w:rPr>
        <w:t xml:space="preserve">… </w:t>
      </w:r>
      <w:r w:rsidRPr="006F54DA">
        <w:rPr>
          <w:rFonts w:ascii="Garamond" w:eastAsia="ABBvoice CNSG" w:hAnsi="Garamond"/>
          <w:sz w:val="24"/>
          <w:szCs w:val="24"/>
          <w:lang w:val="es-AR"/>
        </w:rPr>
        <w:t>de la Sociedad, rubricado bajo el N°</w:t>
      </w:r>
      <w:r>
        <w:rPr>
          <w:rFonts w:ascii="Garamond" w:eastAsia="ABBvoice CNSG" w:hAnsi="Garamond"/>
          <w:sz w:val="24"/>
          <w:szCs w:val="24"/>
          <w:lang w:val="es-AR"/>
        </w:rPr>
        <w:t>…</w:t>
      </w:r>
      <w:r w:rsidRPr="006F54DA">
        <w:rPr>
          <w:rFonts w:ascii="Garamond" w:eastAsia="ABBvoice CNSG" w:hAnsi="Garamond"/>
          <w:sz w:val="24"/>
          <w:szCs w:val="24"/>
          <w:lang w:val="es-AR"/>
        </w:rPr>
        <w:t xml:space="preserve"> con fecha</w:t>
      </w:r>
      <w:r>
        <w:rPr>
          <w:rFonts w:ascii="Garamond" w:eastAsia="ABBvoice CNSG" w:hAnsi="Garamond"/>
          <w:sz w:val="24"/>
          <w:szCs w:val="24"/>
          <w:lang w:val="es-AR"/>
        </w:rPr>
        <w:t xml:space="preserve"> dd/mm/aaaa.</w:t>
      </w:r>
    </w:p>
    <w:p w:rsidR="00606D83" w:rsidRDefault="00606D83" w:rsidP="00F0073C">
      <w:pPr>
        <w:pStyle w:val="NoSpacing"/>
        <w:jc w:val="both"/>
        <w:rPr>
          <w:rFonts w:ascii="Garamond" w:eastAsia="ABBvoice CNSG" w:hAnsi="Garamond"/>
          <w:sz w:val="24"/>
          <w:szCs w:val="24"/>
          <w:lang w:val="es-AR"/>
        </w:rPr>
      </w:pPr>
    </w:p>
    <w:p w:rsidR="00606D83" w:rsidRPr="006F54DA" w:rsidRDefault="00606D83" w:rsidP="00F0073C">
      <w:pPr>
        <w:ind w:firstLine="357"/>
        <w:jc w:val="both"/>
        <w:rPr>
          <w:rFonts w:ascii="Garamond" w:hAnsi="Garamond" w:cs="Arial"/>
          <w:b/>
          <w:bCs/>
          <w:color w:val="000000"/>
          <w:sz w:val="24"/>
          <w:szCs w:val="24"/>
          <w:lang w:val="es-AR"/>
        </w:rPr>
      </w:pPr>
      <w:r w:rsidRPr="006F54DA">
        <w:rPr>
          <w:rFonts w:ascii="Garamond" w:hAnsi="Garamond" w:cs="Arial"/>
          <w:b/>
          <w:bCs/>
          <w:color w:val="000000"/>
          <w:sz w:val="24"/>
          <w:szCs w:val="24"/>
          <w:lang w:val="es-AR"/>
        </w:rPr>
        <w:t>II. Caja y bancos</w:t>
      </w:r>
    </w:p>
    <w:p w:rsidR="00606D83" w:rsidRPr="00F0073C" w:rsidRDefault="00606D83" w:rsidP="00F0073C">
      <w:pPr>
        <w:jc w:val="both"/>
        <w:rPr>
          <w:rFonts w:ascii="Garamond" w:hAnsi="Garamond" w:cs="Arial"/>
          <w:color w:val="000000"/>
          <w:sz w:val="24"/>
          <w:szCs w:val="24"/>
          <w:lang w:val="es-AR"/>
        </w:rPr>
      </w:pPr>
    </w:p>
    <w:p w:rsidR="00606D83" w:rsidRDefault="00606D83" w:rsidP="00DE6C64">
      <w:pPr>
        <w:pStyle w:val="NoSpacing"/>
        <w:numPr>
          <w:ilvl w:val="0"/>
          <w:numId w:val="2"/>
        </w:numPr>
        <w:ind w:left="1071" w:hanging="357"/>
        <w:jc w:val="both"/>
        <w:rPr>
          <w:rFonts w:ascii="Garamond" w:eastAsia="ABBvoice CNSG" w:hAnsi="Garamond"/>
          <w:sz w:val="24"/>
          <w:szCs w:val="24"/>
          <w:lang w:val="es-AR"/>
        </w:rPr>
      </w:pPr>
      <w:r w:rsidRPr="006F54DA">
        <w:rPr>
          <w:rFonts w:ascii="Garamond" w:eastAsia="ABBvoice CNSG" w:hAnsi="Garamond"/>
          <w:sz w:val="24"/>
          <w:szCs w:val="24"/>
          <w:lang w:val="es-AR"/>
        </w:rPr>
        <w:t>Solicitud de las conciliaciones de saldos bancarios con los saldos contables al</w:t>
      </w:r>
      <w:r>
        <w:rPr>
          <w:rFonts w:ascii="Garamond" w:eastAsia="ABBvoice CNSG" w:hAnsi="Garamond"/>
          <w:sz w:val="24"/>
          <w:szCs w:val="24"/>
          <w:lang w:val="es-AR"/>
        </w:rPr>
        <w:t xml:space="preserve"> dd/mm/aaaa.</w:t>
      </w:r>
    </w:p>
    <w:p w:rsidR="00606D83" w:rsidRPr="006F54DA" w:rsidRDefault="00606D83" w:rsidP="00F0073C">
      <w:pPr>
        <w:pStyle w:val="NoSpacing"/>
        <w:jc w:val="both"/>
        <w:rPr>
          <w:rFonts w:ascii="Garamond" w:eastAsia="ABBvoice CNSG" w:hAnsi="Garamond"/>
          <w:sz w:val="24"/>
          <w:szCs w:val="24"/>
          <w:lang w:val="es-AR"/>
        </w:rPr>
      </w:pPr>
    </w:p>
    <w:p w:rsidR="00606D83" w:rsidRDefault="00606D83" w:rsidP="00DE6C64">
      <w:pPr>
        <w:pStyle w:val="NoSpacing"/>
        <w:numPr>
          <w:ilvl w:val="0"/>
          <w:numId w:val="2"/>
        </w:numPr>
        <w:ind w:left="1071" w:hanging="357"/>
        <w:jc w:val="both"/>
        <w:rPr>
          <w:rFonts w:ascii="Garamond" w:eastAsia="ABBvoice CNSG" w:hAnsi="Garamond"/>
          <w:sz w:val="24"/>
          <w:szCs w:val="24"/>
          <w:lang w:val="es-AR"/>
        </w:rPr>
      </w:pPr>
      <w:r w:rsidRPr="006F54DA">
        <w:rPr>
          <w:rFonts w:ascii="Garamond" w:eastAsia="ABBvoice CNSG" w:hAnsi="Garamond"/>
          <w:sz w:val="24"/>
          <w:szCs w:val="24"/>
          <w:lang w:val="es-AR"/>
        </w:rPr>
        <w:t>Cruce de saldos bancarios conciliados con la contabilidad con los correspondientes extractos bancarios emitidos por las entidades financieras.</w:t>
      </w:r>
    </w:p>
    <w:p w:rsidR="00606D83" w:rsidRPr="006F54DA" w:rsidRDefault="00606D83" w:rsidP="00F0073C">
      <w:pPr>
        <w:pStyle w:val="NoSpacing"/>
        <w:jc w:val="both"/>
        <w:rPr>
          <w:rFonts w:ascii="Garamond" w:eastAsia="ABBvoice CNSG" w:hAnsi="Garamond"/>
          <w:sz w:val="24"/>
          <w:szCs w:val="24"/>
          <w:lang w:val="es-AR"/>
        </w:rPr>
      </w:pPr>
    </w:p>
    <w:p w:rsidR="00606D83" w:rsidRPr="00F0073C" w:rsidRDefault="00606D83" w:rsidP="00DE6C64">
      <w:pPr>
        <w:pStyle w:val="NoSpacing"/>
        <w:numPr>
          <w:ilvl w:val="0"/>
          <w:numId w:val="2"/>
        </w:numPr>
        <w:ind w:left="1071" w:hanging="357"/>
        <w:jc w:val="both"/>
        <w:rPr>
          <w:rFonts w:ascii="Garamond" w:eastAsia="ABBvoice CNSG" w:hAnsi="Garamond"/>
          <w:sz w:val="24"/>
          <w:szCs w:val="24"/>
          <w:lang w:val="es-AR"/>
        </w:rPr>
      </w:pPr>
      <w:r w:rsidRPr="00F0073C">
        <w:rPr>
          <w:rFonts w:ascii="Garamond" w:eastAsia="ABBvoice CNSG" w:hAnsi="Garamond"/>
          <w:sz w:val="24"/>
          <w:szCs w:val="24"/>
          <w:lang w:val="es-AR"/>
        </w:rPr>
        <w:t>En el caso que las conciliaciones bancarias se hayan hecho a una fecha distinta del 18 de diciembre, agregar: “Revisión analítica comparativa entre los saldos de bancos al dd</w:t>
      </w:r>
      <w:r>
        <w:rPr>
          <w:rFonts w:ascii="Garamond" w:eastAsia="ABBvoice CNSG" w:hAnsi="Garamond"/>
          <w:sz w:val="24"/>
          <w:szCs w:val="24"/>
          <w:lang w:val="es-AR"/>
        </w:rPr>
        <w:t>/</w:t>
      </w:r>
      <w:r w:rsidRPr="00F0073C">
        <w:rPr>
          <w:rFonts w:ascii="Garamond" w:eastAsia="ABBvoice CNSG" w:hAnsi="Garamond"/>
          <w:sz w:val="24"/>
          <w:szCs w:val="24"/>
          <w:lang w:val="es-AR"/>
        </w:rPr>
        <w:t>mm</w:t>
      </w:r>
      <w:r>
        <w:rPr>
          <w:rFonts w:ascii="Garamond" w:eastAsia="ABBvoice CNSG" w:hAnsi="Garamond"/>
          <w:sz w:val="24"/>
          <w:szCs w:val="24"/>
          <w:lang w:val="es-AR"/>
        </w:rPr>
        <w:t>/</w:t>
      </w:r>
      <w:r w:rsidRPr="00F0073C">
        <w:rPr>
          <w:rFonts w:ascii="Garamond" w:eastAsia="ABBvoice CNSG" w:hAnsi="Garamond"/>
          <w:sz w:val="24"/>
          <w:szCs w:val="24"/>
          <w:lang w:val="es-AR"/>
        </w:rPr>
        <w:t>aaaa</w:t>
      </w:r>
      <w:r>
        <w:rPr>
          <w:rFonts w:ascii="Garamond" w:eastAsia="ABBvoice CNSG" w:hAnsi="Garamond"/>
          <w:sz w:val="24"/>
          <w:szCs w:val="24"/>
          <w:lang w:val="es-AR"/>
        </w:rPr>
        <w:t xml:space="preserve"> </w:t>
      </w:r>
      <w:r w:rsidRPr="00F0073C">
        <w:rPr>
          <w:rFonts w:ascii="Garamond" w:eastAsia="ABBvoice CNSG" w:hAnsi="Garamond"/>
          <w:sz w:val="24"/>
          <w:szCs w:val="24"/>
          <w:lang w:val="es-AR"/>
        </w:rPr>
        <w:t>(fecha de las conciliaciones bancarias revisadas) y los saldos de Bancos al 18 de diciembre de 2020 que surgen del balance especial.</w:t>
      </w:r>
    </w:p>
    <w:p w:rsidR="00606D83" w:rsidRPr="006F54DA" w:rsidRDefault="00606D83" w:rsidP="00F0073C">
      <w:pPr>
        <w:pStyle w:val="NoSpacing"/>
        <w:jc w:val="both"/>
        <w:rPr>
          <w:rFonts w:ascii="Garamond" w:eastAsia="ABBvoice CNSG" w:hAnsi="Garamond"/>
          <w:sz w:val="24"/>
          <w:szCs w:val="24"/>
          <w:lang w:val="es-AR"/>
        </w:rPr>
      </w:pPr>
    </w:p>
    <w:p w:rsidR="00606D83" w:rsidRPr="006F54DA" w:rsidRDefault="00606D83" w:rsidP="00F0073C">
      <w:pPr>
        <w:ind w:firstLine="357"/>
        <w:jc w:val="both"/>
        <w:rPr>
          <w:rFonts w:ascii="Garamond" w:hAnsi="Garamond" w:cs="Arial"/>
          <w:b/>
          <w:bCs/>
          <w:color w:val="000000"/>
          <w:sz w:val="24"/>
          <w:szCs w:val="24"/>
          <w:lang w:val="es-AR"/>
        </w:rPr>
      </w:pPr>
      <w:r w:rsidRPr="006F54DA">
        <w:rPr>
          <w:rFonts w:ascii="Garamond" w:hAnsi="Garamond" w:cs="Arial"/>
          <w:b/>
          <w:bCs/>
          <w:color w:val="000000"/>
          <w:sz w:val="24"/>
          <w:szCs w:val="24"/>
          <w:lang w:val="es-AR"/>
        </w:rPr>
        <w:t>III. Inversiones corrientes</w:t>
      </w:r>
    </w:p>
    <w:p w:rsidR="00606D83" w:rsidRPr="00F0073C" w:rsidRDefault="00606D83" w:rsidP="00F0073C">
      <w:pPr>
        <w:jc w:val="both"/>
        <w:rPr>
          <w:rFonts w:ascii="Garamond" w:hAnsi="Garamond" w:cs="Arial"/>
          <w:color w:val="000000"/>
          <w:sz w:val="24"/>
          <w:szCs w:val="24"/>
          <w:lang w:val="es-AR"/>
        </w:rPr>
      </w:pPr>
    </w:p>
    <w:p w:rsidR="00606D83" w:rsidRDefault="00606D83" w:rsidP="00DE6C64">
      <w:pPr>
        <w:pStyle w:val="NoSpacing"/>
        <w:numPr>
          <w:ilvl w:val="0"/>
          <w:numId w:val="3"/>
        </w:numPr>
        <w:ind w:left="1071" w:hanging="357"/>
        <w:jc w:val="both"/>
        <w:rPr>
          <w:rFonts w:ascii="Garamond" w:eastAsia="ABBvoice CNSG" w:hAnsi="Garamond"/>
          <w:sz w:val="24"/>
          <w:szCs w:val="24"/>
          <w:lang w:val="es-AR"/>
        </w:rPr>
      </w:pPr>
      <w:r w:rsidRPr="006F54DA">
        <w:rPr>
          <w:rFonts w:ascii="Garamond" w:eastAsia="ABBvoice CNSG" w:hAnsi="Garamond"/>
          <w:sz w:val="24"/>
          <w:szCs w:val="24"/>
          <w:lang w:val="es-AR"/>
        </w:rPr>
        <w:t>Cruce de las tenencias de inversiones corrientes con documentación emitida por las entidades de custodia de dichas inversiones. En caso de que la documentación revisada corresponda a una fecha distinta al 18 de diciembre, reconciliación de las tenencias a ambas fechas con documentación que respalda los movimientos.</w:t>
      </w:r>
    </w:p>
    <w:p w:rsidR="00606D83" w:rsidRPr="006F54DA" w:rsidRDefault="00606D83" w:rsidP="00F0073C">
      <w:pPr>
        <w:pStyle w:val="NoSpacing"/>
        <w:jc w:val="both"/>
        <w:rPr>
          <w:rFonts w:ascii="Garamond" w:eastAsia="ABBvoice CNSG" w:hAnsi="Garamond"/>
          <w:sz w:val="24"/>
          <w:szCs w:val="24"/>
          <w:lang w:val="es-AR"/>
        </w:rPr>
      </w:pPr>
    </w:p>
    <w:p w:rsidR="00606D83" w:rsidRPr="006F54DA" w:rsidRDefault="00606D83" w:rsidP="00DE6C64">
      <w:pPr>
        <w:pStyle w:val="NoSpacing"/>
        <w:numPr>
          <w:ilvl w:val="0"/>
          <w:numId w:val="3"/>
        </w:numPr>
        <w:ind w:left="1071" w:hanging="357"/>
        <w:jc w:val="both"/>
        <w:rPr>
          <w:rFonts w:ascii="Garamond" w:eastAsia="ABBvoice CNSG" w:hAnsi="Garamond"/>
          <w:sz w:val="24"/>
          <w:szCs w:val="24"/>
          <w:lang w:val="es-AR"/>
        </w:rPr>
      </w:pPr>
      <w:r w:rsidRPr="006F54DA">
        <w:rPr>
          <w:rFonts w:ascii="Garamond" w:eastAsia="ABBvoice CNSG" w:hAnsi="Garamond"/>
          <w:sz w:val="24"/>
          <w:szCs w:val="24"/>
          <w:lang w:val="es-AR"/>
        </w:rPr>
        <w:t>Para aquellas inversiones que cuentan con cotización pública, recálculo de la valuación de las tenencias de inversiones al 18 de diciembre de 2020 en función de las respectivas cotizaciones a dicha fecha.</w:t>
      </w:r>
    </w:p>
    <w:p w:rsidR="00606D83" w:rsidRPr="00F0073C" w:rsidRDefault="00606D83" w:rsidP="00F0073C">
      <w:pPr>
        <w:jc w:val="both"/>
        <w:rPr>
          <w:rFonts w:ascii="Garamond" w:hAnsi="Garamond"/>
          <w:color w:val="000000"/>
          <w:sz w:val="24"/>
          <w:szCs w:val="24"/>
          <w:lang w:val="es-AR"/>
        </w:rPr>
      </w:pPr>
    </w:p>
    <w:p w:rsidR="00606D83" w:rsidRPr="006F54DA" w:rsidRDefault="00606D83" w:rsidP="00F0073C">
      <w:pPr>
        <w:ind w:firstLine="357"/>
        <w:jc w:val="both"/>
        <w:rPr>
          <w:rFonts w:ascii="Garamond" w:hAnsi="Garamond" w:cs="Arial"/>
          <w:b/>
          <w:bCs/>
          <w:color w:val="000000"/>
          <w:sz w:val="24"/>
          <w:szCs w:val="24"/>
          <w:lang w:val="es-AR"/>
        </w:rPr>
      </w:pPr>
      <w:r w:rsidRPr="006F54DA">
        <w:rPr>
          <w:rFonts w:ascii="Garamond" w:hAnsi="Garamond" w:cs="Arial"/>
          <w:b/>
          <w:bCs/>
          <w:color w:val="000000"/>
          <w:sz w:val="24"/>
          <w:szCs w:val="24"/>
          <w:lang w:val="es-AR"/>
        </w:rPr>
        <w:t>IV. Créditos por ventas</w:t>
      </w:r>
    </w:p>
    <w:p w:rsidR="00606D83" w:rsidRPr="00F0073C" w:rsidRDefault="00606D83" w:rsidP="00F0073C">
      <w:pPr>
        <w:jc w:val="both"/>
        <w:rPr>
          <w:rFonts w:ascii="Garamond" w:hAnsi="Garamond" w:cs="Arial"/>
          <w:color w:val="000000"/>
          <w:sz w:val="24"/>
          <w:szCs w:val="24"/>
          <w:lang w:val="es-AR"/>
        </w:rPr>
      </w:pPr>
    </w:p>
    <w:p w:rsidR="00606D83" w:rsidRDefault="00606D83" w:rsidP="00DE6C64">
      <w:pPr>
        <w:pStyle w:val="NoSpacing"/>
        <w:numPr>
          <w:ilvl w:val="0"/>
          <w:numId w:val="4"/>
        </w:numPr>
        <w:ind w:left="1071" w:hanging="357"/>
        <w:jc w:val="both"/>
        <w:rPr>
          <w:rFonts w:ascii="Garamond" w:eastAsia="ABBvoice CNSG" w:hAnsi="Garamond"/>
          <w:sz w:val="24"/>
          <w:szCs w:val="24"/>
          <w:lang w:val="es-AR"/>
        </w:rPr>
      </w:pPr>
      <w:r w:rsidRPr="006F54DA">
        <w:rPr>
          <w:rFonts w:ascii="Garamond" w:eastAsia="ABBvoice CNSG" w:hAnsi="Garamond"/>
          <w:sz w:val="24"/>
          <w:szCs w:val="24"/>
          <w:lang w:val="es-AR"/>
        </w:rPr>
        <w:t>Cruce de la composición del saldo de créditos por ventas al 18 de diciembre de 2020 con el saldo incluido en el balance especial adjunto.</w:t>
      </w:r>
    </w:p>
    <w:p w:rsidR="00606D83" w:rsidRPr="006F54DA" w:rsidRDefault="00606D83" w:rsidP="00F0073C">
      <w:pPr>
        <w:pStyle w:val="NoSpacing"/>
        <w:jc w:val="both"/>
        <w:rPr>
          <w:rFonts w:ascii="Garamond" w:eastAsia="ABBvoice CNSG" w:hAnsi="Garamond"/>
          <w:sz w:val="24"/>
          <w:szCs w:val="24"/>
          <w:lang w:val="es-AR"/>
        </w:rPr>
      </w:pPr>
    </w:p>
    <w:p w:rsidR="00606D83" w:rsidRDefault="00606D83" w:rsidP="00DE6C64">
      <w:pPr>
        <w:pStyle w:val="NoSpacing"/>
        <w:numPr>
          <w:ilvl w:val="0"/>
          <w:numId w:val="4"/>
        </w:numPr>
        <w:ind w:left="1071" w:hanging="357"/>
        <w:jc w:val="both"/>
        <w:rPr>
          <w:rFonts w:ascii="Garamond" w:eastAsia="ABBvoice CNSG" w:hAnsi="Garamond"/>
          <w:sz w:val="24"/>
          <w:szCs w:val="24"/>
          <w:lang w:val="es-AR"/>
        </w:rPr>
      </w:pPr>
      <w:r w:rsidRPr="00F0073C">
        <w:rPr>
          <w:rFonts w:ascii="Garamond" w:eastAsia="ABBvoice CNSG" w:hAnsi="Garamond"/>
          <w:sz w:val="24"/>
          <w:szCs w:val="24"/>
          <w:lang w:val="es-AR"/>
        </w:rPr>
        <w:t>Selección de una muestra {aclarar si es representativa} de transacciones que conforman el saldo de créditos por ventas al 18 de diciembre de 2020 y cotejo con la documentación que acredite su cobro posterior o, en caso de no haber sido cobrado a la fecha de emisión del balance especial adjunto, con la documentación pertinente que acredite su existencia (facturas, remitos, etc.).</w:t>
      </w:r>
    </w:p>
    <w:p w:rsidR="00606D83" w:rsidRDefault="00606D83" w:rsidP="00F0073C">
      <w:pPr>
        <w:pStyle w:val="ListParagraph"/>
        <w:rPr>
          <w:rFonts w:ascii="Garamond" w:eastAsia="ABBvoice CNSG" w:hAnsi="Garamond"/>
          <w:sz w:val="24"/>
          <w:szCs w:val="24"/>
          <w:lang w:val="es-AR"/>
        </w:rPr>
      </w:pPr>
    </w:p>
    <w:p w:rsidR="00606D83" w:rsidRDefault="00606D83" w:rsidP="00DE6C64">
      <w:pPr>
        <w:pStyle w:val="NoSpacing"/>
        <w:numPr>
          <w:ilvl w:val="0"/>
          <w:numId w:val="4"/>
        </w:numPr>
        <w:ind w:left="1071" w:hanging="357"/>
        <w:jc w:val="both"/>
        <w:rPr>
          <w:rFonts w:ascii="Garamond" w:eastAsia="ABBvoice CNSG" w:hAnsi="Garamond"/>
          <w:sz w:val="24"/>
          <w:szCs w:val="24"/>
          <w:lang w:val="es-AR"/>
        </w:rPr>
      </w:pPr>
      <w:r w:rsidRPr="006F54DA">
        <w:rPr>
          <w:rFonts w:ascii="Garamond" w:eastAsia="ABBvoice CNSG" w:hAnsi="Garamond"/>
          <w:sz w:val="24"/>
          <w:szCs w:val="24"/>
          <w:lang w:val="es-AR"/>
        </w:rPr>
        <w:t>Selección de una muestra {aclarar si es representativa} de transacciones de venta de bienes y/o servicios anteriores y posteriores al 18 de diciembre de 2020 y cotejo con documentación de respaldo pertinente (remitos conformados, aceptación o certificación de servicios) para comprobar su apropiada inclusión en o exclusión del, según corresponda, saldo de créditos por ventas a dicha fecha.</w:t>
      </w:r>
    </w:p>
    <w:p w:rsidR="00606D83" w:rsidRPr="006F54DA" w:rsidRDefault="00606D83" w:rsidP="00F0073C">
      <w:pPr>
        <w:pStyle w:val="NoSpacing"/>
        <w:jc w:val="both"/>
        <w:rPr>
          <w:rFonts w:ascii="Garamond" w:eastAsia="ABBvoice CNSG" w:hAnsi="Garamond"/>
          <w:sz w:val="24"/>
          <w:szCs w:val="24"/>
          <w:lang w:val="es-AR"/>
        </w:rPr>
      </w:pPr>
    </w:p>
    <w:p w:rsidR="00606D83" w:rsidRPr="006F54DA" w:rsidRDefault="00606D83" w:rsidP="00DE6C64">
      <w:pPr>
        <w:pStyle w:val="NoSpacing"/>
        <w:numPr>
          <w:ilvl w:val="0"/>
          <w:numId w:val="4"/>
        </w:numPr>
        <w:ind w:left="1071" w:hanging="357"/>
        <w:jc w:val="both"/>
        <w:rPr>
          <w:rFonts w:ascii="Garamond" w:eastAsia="ABBvoice CNSG" w:hAnsi="Garamond"/>
          <w:sz w:val="24"/>
          <w:szCs w:val="24"/>
          <w:lang w:val="es-AR"/>
        </w:rPr>
      </w:pPr>
      <w:r w:rsidRPr="006F54DA">
        <w:rPr>
          <w:rFonts w:ascii="Garamond" w:eastAsia="ABBvoice CNSG" w:hAnsi="Garamond"/>
          <w:sz w:val="24"/>
          <w:szCs w:val="24"/>
          <w:lang w:val="es-AR"/>
        </w:rPr>
        <w:t>Recálculo de la previsión para créditos de dudoso cobro, en base a la aplicación de las políticas contables establecidas por la Sociedad.</w:t>
      </w:r>
    </w:p>
    <w:p w:rsidR="00606D83" w:rsidRPr="006F54DA" w:rsidRDefault="00606D83" w:rsidP="00F0073C">
      <w:pPr>
        <w:pStyle w:val="NoSpacing"/>
        <w:jc w:val="both"/>
        <w:rPr>
          <w:rFonts w:ascii="Garamond" w:eastAsia="ABBvoice CNSG" w:hAnsi="Garamond"/>
          <w:sz w:val="24"/>
          <w:szCs w:val="24"/>
          <w:lang w:val="es-AR"/>
        </w:rPr>
      </w:pPr>
    </w:p>
    <w:p w:rsidR="00606D83" w:rsidRPr="006F54DA" w:rsidRDefault="00606D83" w:rsidP="00F0073C">
      <w:pPr>
        <w:ind w:firstLine="357"/>
        <w:jc w:val="both"/>
        <w:rPr>
          <w:rFonts w:ascii="Garamond" w:hAnsi="Garamond" w:cs="Arial"/>
          <w:b/>
          <w:bCs/>
          <w:color w:val="000000"/>
          <w:sz w:val="24"/>
          <w:szCs w:val="24"/>
          <w:lang w:val="es-AR"/>
        </w:rPr>
      </w:pPr>
      <w:r w:rsidRPr="006F54DA">
        <w:rPr>
          <w:rFonts w:ascii="Garamond" w:hAnsi="Garamond" w:cs="Arial"/>
          <w:b/>
          <w:bCs/>
          <w:color w:val="000000"/>
          <w:sz w:val="24"/>
          <w:szCs w:val="24"/>
          <w:lang w:val="es-AR"/>
        </w:rPr>
        <w:t>V. Inventarios</w:t>
      </w:r>
      <w:r>
        <w:rPr>
          <w:rStyle w:val="FootnoteReference"/>
          <w:rFonts w:ascii="Garamond" w:hAnsi="Garamond" w:cs="Arial"/>
          <w:b/>
          <w:bCs/>
          <w:color w:val="000000"/>
          <w:sz w:val="24"/>
          <w:szCs w:val="24"/>
          <w:lang w:val="es-AR"/>
        </w:rPr>
        <w:footnoteReference w:id="7"/>
      </w:r>
    </w:p>
    <w:p w:rsidR="00606D83" w:rsidRPr="00F0073C" w:rsidRDefault="00606D83" w:rsidP="005E6E11">
      <w:pPr>
        <w:jc w:val="both"/>
        <w:rPr>
          <w:rFonts w:ascii="Garamond" w:hAnsi="Garamond" w:cs="Arial"/>
          <w:color w:val="000000"/>
          <w:sz w:val="24"/>
          <w:szCs w:val="24"/>
          <w:lang w:val="es-AR"/>
        </w:rPr>
      </w:pPr>
    </w:p>
    <w:p w:rsidR="00606D83" w:rsidRDefault="00606D83" w:rsidP="00DE6C64">
      <w:pPr>
        <w:pStyle w:val="NoSpacing"/>
        <w:numPr>
          <w:ilvl w:val="0"/>
          <w:numId w:val="5"/>
        </w:numPr>
        <w:ind w:left="1071" w:hanging="357"/>
        <w:jc w:val="both"/>
        <w:rPr>
          <w:rFonts w:ascii="Garamond" w:eastAsia="ABBvoice CNSG" w:hAnsi="Garamond"/>
          <w:sz w:val="24"/>
          <w:szCs w:val="24"/>
          <w:lang w:val="es-AR"/>
        </w:rPr>
      </w:pPr>
      <w:r w:rsidRPr="006F54DA">
        <w:rPr>
          <w:rFonts w:ascii="Garamond" w:eastAsia="ABBvoice CNSG" w:hAnsi="Garamond"/>
          <w:sz w:val="24"/>
          <w:szCs w:val="24"/>
          <w:lang w:val="es-AR"/>
        </w:rPr>
        <w:t>Cruce del inventario detallado de materias primas, productos en proceso, terminados y materiales al 18 de diciembre de 2020, con el saldo incluido en el balance especial. En caso de no existir un inventario detallado a esa fecha, solicitud de la conciliación entre el inventario detallado a la fecha más cercana y el saldo incluido en el balance especial.</w:t>
      </w:r>
    </w:p>
    <w:p w:rsidR="00606D83" w:rsidRPr="006F54DA" w:rsidRDefault="00606D83" w:rsidP="005E6E11">
      <w:pPr>
        <w:pStyle w:val="NoSpacing"/>
        <w:jc w:val="both"/>
        <w:rPr>
          <w:rFonts w:ascii="Garamond" w:eastAsia="ABBvoice CNSG" w:hAnsi="Garamond"/>
          <w:sz w:val="24"/>
          <w:szCs w:val="24"/>
          <w:lang w:val="es-AR"/>
        </w:rPr>
      </w:pPr>
    </w:p>
    <w:p w:rsidR="00606D83" w:rsidRPr="006F54DA" w:rsidRDefault="00606D83" w:rsidP="00DE6C64">
      <w:pPr>
        <w:pStyle w:val="NoSpacing"/>
        <w:numPr>
          <w:ilvl w:val="0"/>
          <w:numId w:val="5"/>
        </w:numPr>
        <w:ind w:left="1071" w:hanging="357"/>
        <w:jc w:val="both"/>
        <w:rPr>
          <w:rFonts w:ascii="Garamond" w:eastAsia="ABBvoice CNSG" w:hAnsi="Garamond"/>
          <w:sz w:val="24"/>
          <w:szCs w:val="24"/>
          <w:lang w:val="es-AR"/>
        </w:rPr>
      </w:pPr>
      <w:r w:rsidRPr="006F54DA">
        <w:rPr>
          <w:rFonts w:ascii="Garamond" w:eastAsia="ABBvoice CNSG" w:hAnsi="Garamond"/>
          <w:sz w:val="24"/>
          <w:szCs w:val="24"/>
          <w:lang w:val="es-AR"/>
        </w:rPr>
        <w:t>Selección de una muestra {</w:t>
      </w:r>
      <w:r w:rsidRPr="004029AC">
        <w:rPr>
          <w:rFonts w:ascii="Garamond" w:eastAsia="ABBvoice CNSG" w:hAnsi="Garamond"/>
          <w:i/>
          <w:iCs/>
          <w:sz w:val="24"/>
          <w:szCs w:val="24"/>
          <w:lang w:val="es-AR"/>
        </w:rPr>
        <w:t>aclarar si es representativa</w:t>
      </w:r>
      <w:r w:rsidRPr="006F54DA">
        <w:rPr>
          <w:rFonts w:ascii="Garamond" w:eastAsia="ABBvoice CNSG" w:hAnsi="Garamond"/>
          <w:sz w:val="24"/>
          <w:szCs w:val="24"/>
          <w:lang w:val="es-AR"/>
        </w:rPr>
        <w:t>} de ítems del inventario detallado, y cotejo de la valuación de estos con documentación que respalde su costo de reposición (cotizaciones de proveedores, facturas de fechas cercanas a la fecha de cierre, etc.)</w:t>
      </w:r>
    </w:p>
    <w:p w:rsidR="00606D83" w:rsidRPr="006F54DA" w:rsidRDefault="00606D83" w:rsidP="005E6E11">
      <w:pPr>
        <w:pStyle w:val="NoSpacing"/>
        <w:jc w:val="both"/>
        <w:rPr>
          <w:rFonts w:ascii="Garamond" w:eastAsia="ABBvoice CNSG" w:hAnsi="Garamond"/>
          <w:sz w:val="24"/>
          <w:szCs w:val="24"/>
          <w:lang w:val="es-AR"/>
        </w:rPr>
      </w:pPr>
    </w:p>
    <w:p w:rsidR="00606D83" w:rsidRPr="006F54DA" w:rsidRDefault="00606D83" w:rsidP="005E6E11">
      <w:pPr>
        <w:ind w:firstLine="357"/>
        <w:jc w:val="both"/>
        <w:rPr>
          <w:rFonts w:ascii="Garamond" w:hAnsi="Garamond" w:cs="Arial"/>
          <w:b/>
          <w:bCs/>
          <w:color w:val="000000"/>
          <w:sz w:val="24"/>
          <w:szCs w:val="24"/>
          <w:lang w:val="es-AR"/>
        </w:rPr>
      </w:pPr>
      <w:r w:rsidRPr="006F54DA">
        <w:rPr>
          <w:rFonts w:ascii="Garamond" w:hAnsi="Garamond" w:cs="Arial"/>
          <w:b/>
          <w:bCs/>
          <w:color w:val="000000"/>
          <w:sz w:val="24"/>
          <w:szCs w:val="24"/>
          <w:lang w:val="es-AR"/>
        </w:rPr>
        <w:t>VI. Otros créditos</w:t>
      </w:r>
    </w:p>
    <w:p w:rsidR="00606D83" w:rsidRPr="005E6E11" w:rsidRDefault="00606D83" w:rsidP="005E6E11">
      <w:pPr>
        <w:jc w:val="both"/>
        <w:rPr>
          <w:rFonts w:ascii="Garamond" w:hAnsi="Garamond" w:cs="Arial"/>
          <w:color w:val="000000"/>
          <w:sz w:val="24"/>
          <w:szCs w:val="24"/>
          <w:lang w:val="es-AR"/>
        </w:rPr>
      </w:pPr>
    </w:p>
    <w:p w:rsidR="00606D83" w:rsidRDefault="00606D83" w:rsidP="00DE6C64">
      <w:pPr>
        <w:pStyle w:val="NoSpacing"/>
        <w:numPr>
          <w:ilvl w:val="0"/>
          <w:numId w:val="6"/>
        </w:numPr>
        <w:ind w:left="1071" w:hanging="357"/>
        <w:jc w:val="both"/>
        <w:rPr>
          <w:rFonts w:ascii="Garamond" w:eastAsia="ABBvoice CNSG" w:hAnsi="Garamond"/>
          <w:sz w:val="24"/>
          <w:szCs w:val="24"/>
          <w:lang w:val="es-AR"/>
        </w:rPr>
      </w:pPr>
      <w:r w:rsidRPr="006F54DA">
        <w:rPr>
          <w:rFonts w:ascii="Garamond" w:eastAsia="ABBvoice CNSG" w:hAnsi="Garamond"/>
          <w:sz w:val="24"/>
          <w:szCs w:val="24"/>
          <w:lang w:val="es-AR"/>
        </w:rPr>
        <w:t>Cruce de la composición del saldo de otros créditos al 18 de diciembre de 2020 con el saldo incluido en el balance especial adjunto.</w:t>
      </w:r>
    </w:p>
    <w:p w:rsidR="00606D83" w:rsidRPr="006F54DA" w:rsidRDefault="00606D83" w:rsidP="005E6E11">
      <w:pPr>
        <w:pStyle w:val="NoSpacing"/>
        <w:jc w:val="both"/>
        <w:rPr>
          <w:rFonts w:ascii="Garamond" w:eastAsia="ABBvoice CNSG" w:hAnsi="Garamond"/>
          <w:sz w:val="24"/>
          <w:szCs w:val="24"/>
          <w:lang w:val="es-AR"/>
        </w:rPr>
      </w:pPr>
    </w:p>
    <w:p w:rsidR="00606D83" w:rsidRPr="005E6E11" w:rsidRDefault="00606D83" w:rsidP="00DE6C64">
      <w:pPr>
        <w:pStyle w:val="NoSpacing"/>
        <w:numPr>
          <w:ilvl w:val="0"/>
          <w:numId w:val="6"/>
        </w:numPr>
        <w:ind w:left="1071" w:hanging="357"/>
        <w:jc w:val="both"/>
        <w:rPr>
          <w:rFonts w:ascii="Garamond" w:hAnsi="Garamond"/>
          <w:color w:val="000000"/>
          <w:sz w:val="24"/>
          <w:szCs w:val="24"/>
          <w:lang w:val="es-AR"/>
        </w:rPr>
      </w:pPr>
      <w:r w:rsidRPr="005E6E11">
        <w:rPr>
          <w:rFonts w:ascii="Garamond" w:eastAsia="ABBvoice CNSG" w:hAnsi="Garamond"/>
          <w:sz w:val="24"/>
          <w:szCs w:val="24"/>
          <w:lang w:val="es-AR"/>
        </w:rPr>
        <w:t>Selección de una muestra {aclarar si es representativa} de ítems que conforman el saldo de otros créditos al 18 de diciembre de 2020 y cotejo con la documentación que acredite su cobro posterior o, en caso de no haber sido cobrado a la fecha de emisión del balance especial adjunto, con la documentación pertinente que acredite su existencia (contratos, recibos de anticipos, declaraciones juradas de impuestos, etc.).</w:t>
      </w:r>
    </w:p>
    <w:p w:rsidR="00606D83" w:rsidRPr="005E6E11" w:rsidRDefault="00606D83" w:rsidP="005E6E11">
      <w:pPr>
        <w:pStyle w:val="NoSpacing"/>
        <w:jc w:val="both"/>
        <w:rPr>
          <w:rFonts w:ascii="Garamond" w:hAnsi="Garamond"/>
          <w:color w:val="000000"/>
          <w:sz w:val="24"/>
          <w:szCs w:val="24"/>
          <w:lang w:val="es-AR"/>
        </w:rPr>
      </w:pPr>
    </w:p>
    <w:p w:rsidR="00606D83" w:rsidRPr="006F54DA" w:rsidRDefault="00606D83" w:rsidP="005E6E11">
      <w:pPr>
        <w:ind w:firstLine="357"/>
        <w:jc w:val="both"/>
        <w:rPr>
          <w:rFonts w:ascii="Garamond" w:hAnsi="Garamond" w:cs="Arial"/>
          <w:b/>
          <w:bCs/>
          <w:color w:val="000000"/>
          <w:sz w:val="24"/>
          <w:szCs w:val="24"/>
          <w:lang w:val="es-AR"/>
        </w:rPr>
      </w:pPr>
      <w:r w:rsidRPr="006F54DA">
        <w:rPr>
          <w:rFonts w:ascii="Garamond" w:hAnsi="Garamond" w:cs="Arial"/>
          <w:b/>
          <w:bCs/>
          <w:color w:val="000000"/>
          <w:sz w:val="24"/>
          <w:szCs w:val="24"/>
          <w:lang w:val="es-AR"/>
        </w:rPr>
        <w:t>VII. Propiedades, planta y equipo</w:t>
      </w:r>
      <w:r>
        <w:rPr>
          <w:rStyle w:val="FootnoteReference"/>
          <w:rFonts w:ascii="Garamond" w:hAnsi="Garamond" w:cs="Arial"/>
          <w:b/>
          <w:bCs/>
          <w:color w:val="000000"/>
          <w:sz w:val="24"/>
          <w:szCs w:val="24"/>
          <w:lang w:val="es-AR"/>
        </w:rPr>
        <w:footnoteReference w:id="8"/>
      </w:r>
    </w:p>
    <w:p w:rsidR="00606D83" w:rsidRPr="005E6E11" w:rsidRDefault="00606D83" w:rsidP="004029AC">
      <w:pPr>
        <w:jc w:val="both"/>
        <w:rPr>
          <w:rFonts w:ascii="Garamond" w:hAnsi="Garamond" w:cs="Arial"/>
          <w:color w:val="000000"/>
          <w:sz w:val="24"/>
          <w:szCs w:val="24"/>
          <w:lang w:val="es-AR"/>
        </w:rPr>
      </w:pPr>
    </w:p>
    <w:p w:rsidR="00606D83" w:rsidRDefault="00606D83" w:rsidP="00DE6C64">
      <w:pPr>
        <w:pStyle w:val="NoSpacing"/>
        <w:numPr>
          <w:ilvl w:val="0"/>
          <w:numId w:val="7"/>
        </w:numPr>
        <w:ind w:left="1071" w:hanging="357"/>
        <w:jc w:val="both"/>
        <w:rPr>
          <w:rFonts w:ascii="Garamond" w:eastAsia="ABBvoice CNSG" w:hAnsi="Garamond"/>
          <w:sz w:val="24"/>
          <w:szCs w:val="24"/>
          <w:lang w:val="es-AR"/>
        </w:rPr>
      </w:pPr>
      <w:r w:rsidRPr="005E6E11">
        <w:rPr>
          <w:rFonts w:ascii="Garamond" w:eastAsia="ABBvoice CNSG" w:hAnsi="Garamond"/>
          <w:sz w:val="24"/>
          <w:szCs w:val="24"/>
          <w:lang w:val="es-AR"/>
        </w:rPr>
        <w:t>Cruce del inventario detallado de propiedades, planta y equipo al 18 de diciembre de 2020, con el saldo incluido en el balance especial. En caso de no existir un inventario detallado a esa fecha, solicitud de la conciliación entre el inventario detallado a la fecha más cercana y el saldo incluido en el balance especial.</w:t>
      </w:r>
    </w:p>
    <w:p w:rsidR="00606D83" w:rsidRPr="005E6E11" w:rsidRDefault="00606D83" w:rsidP="005E6E11">
      <w:pPr>
        <w:pStyle w:val="NoSpacing"/>
        <w:jc w:val="both"/>
        <w:rPr>
          <w:rFonts w:ascii="Garamond" w:eastAsia="ABBvoice CNSG" w:hAnsi="Garamond"/>
          <w:sz w:val="24"/>
          <w:szCs w:val="24"/>
          <w:lang w:val="es-AR"/>
        </w:rPr>
      </w:pPr>
    </w:p>
    <w:p w:rsidR="00606D83" w:rsidRDefault="00606D83" w:rsidP="00DE6C64">
      <w:pPr>
        <w:pStyle w:val="NoSpacing"/>
        <w:numPr>
          <w:ilvl w:val="0"/>
          <w:numId w:val="7"/>
        </w:numPr>
        <w:ind w:left="1071" w:hanging="357"/>
        <w:jc w:val="both"/>
        <w:rPr>
          <w:rFonts w:ascii="Garamond" w:eastAsia="ABBvoice CNSG" w:hAnsi="Garamond"/>
          <w:sz w:val="24"/>
          <w:szCs w:val="24"/>
          <w:lang w:val="es-AR"/>
        </w:rPr>
      </w:pPr>
      <w:r w:rsidRPr="006F54DA">
        <w:rPr>
          <w:rFonts w:ascii="Garamond" w:eastAsia="ABBvoice CNSG" w:hAnsi="Garamond"/>
          <w:sz w:val="24"/>
          <w:szCs w:val="24"/>
          <w:lang w:val="es-AR"/>
        </w:rPr>
        <w:t>Prueba de evolución del saldo de Propiedades, planta y equipo</w:t>
      </w:r>
      <w:r>
        <w:rPr>
          <w:rFonts w:ascii="Garamond" w:eastAsia="ABBvoice CNSG" w:hAnsi="Garamond"/>
          <w:sz w:val="24"/>
          <w:szCs w:val="24"/>
          <w:lang w:val="es-AR"/>
        </w:rPr>
        <w:t>,</w:t>
      </w:r>
      <w:r w:rsidRPr="006F54DA">
        <w:rPr>
          <w:rFonts w:ascii="Garamond" w:eastAsia="ABBvoice CNSG" w:hAnsi="Garamond"/>
          <w:sz w:val="24"/>
          <w:szCs w:val="24"/>
          <w:lang w:val="es-AR"/>
        </w:rPr>
        <w:t xml:space="preserve"> partiendo del saldo a la fecha del último balance estatutario de la Sociedad y hasta el 18 de diciembre de 2020, considerando altas, bajas y </w:t>
      </w:r>
      <w:r>
        <w:rPr>
          <w:rFonts w:ascii="Garamond" w:eastAsia="ABBvoice CNSG" w:hAnsi="Garamond"/>
          <w:sz w:val="24"/>
          <w:szCs w:val="24"/>
          <w:lang w:val="es-AR"/>
        </w:rPr>
        <w:t>depreci</w:t>
      </w:r>
      <w:r w:rsidRPr="006F54DA">
        <w:rPr>
          <w:rFonts w:ascii="Garamond" w:eastAsia="ABBvoice CNSG" w:hAnsi="Garamond"/>
          <w:sz w:val="24"/>
          <w:szCs w:val="24"/>
          <w:lang w:val="es-AR"/>
        </w:rPr>
        <w:t>ación del período.</w:t>
      </w:r>
    </w:p>
    <w:p w:rsidR="00606D83" w:rsidRPr="006F54DA" w:rsidRDefault="00606D83" w:rsidP="005E6E11">
      <w:pPr>
        <w:pStyle w:val="NoSpacing"/>
        <w:jc w:val="both"/>
        <w:rPr>
          <w:rFonts w:ascii="Garamond" w:eastAsia="ABBvoice CNSG" w:hAnsi="Garamond"/>
          <w:sz w:val="24"/>
          <w:szCs w:val="24"/>
          <w:lang w:val="es-AR"/>
        </w:rPr>
      </w:pPr>
    </w:p>
    <w:p w:rsidR="00606D83" w:rsidRDefault="00606D83" w:rsidP="00DE6C64">
      <w:pPr>
        <w:pStyle w:val="NoSpacing"/>
        <w:numPr>
          <w:ilvl w:val="0"/>
          <w:numId w:val="7"/>
        </w:numPr>
        <w:ind w:left="1071" w:hanging="357"/>
        <w:jc w:val="both"/>
        <w:rPr>
          <w:rFonts w:ascii="Garamond" w:eastAsia="ABBvoice CNSG" w:hAnsi="Garamond"/>
          <w:sz w:val="24"/>
          <w:szCs w:val="24"/>
          <w:lang w:val="es-AR"/>
        </w:rPr>
      </w:pPr>
      <w:r w:rsidRPr="006F54DA">
        <w:rPr>
          <w:rFonts w:ascii="Garamond" w:eastAsia="ABBvoice CNSG" w:hAnsi="Garamond"/>
          <w:sz w:val="24"/>
          <w:szCs w:val="24"/>
          <w:lang w:val="es-AR"/>
        </w:rPr>
        <w:t xml:space="preserve">Selección de una muestra </w:t>
      </w:r>
      <w:r>
        <w:rPr>
          <w:rFonts w:ascii="Garamond" w:eastAsia="ABBvoice CNSG" w:hAnsi="Garamond"/>
          <w:sz w:val="24"/>
          <w:szCs w:val="24"/>
          <w:lang w:val="es-AR"/>
        </w:rPr>
        <w:t>{</w:t>
      </w:r>
      <w:r w:rsidRPr="004029AC">
        <w:rPr>
          <w:rFonts w:ascii="Garamond" w:eastAsia="ABBvoice CNSG" w:hAnsi="Garamond"/>
          <w:i/>
          <w:iCs/>
          <w:sz w:val="24"/>
          <w:szCs w:val="24"/>
          <w:lang w:val="es-AR"/>
        </w:rPr>
        <w:t>aclarar si es representativa</w:t>
      </w:r>
      <w:r>
        <w:rPr>
          <w:rFonts w:ascii="Garamond" w:eastAsia="ABBvoice CNSG" w:hAnsi="Garamond"/>
          <w:sz w:val="24"/>
          <w:szCs w:val="24"/>
          <w:lang w:val="es-AR"/>
        </w:rPr>
        <w:t>}</w:t>
      </w:r>
      <w:r w:rsidRPr="006F54DA">
        <w:rPr>
          <w:rFonts w:ascii="Garamond" w:eastAsia="ABBvoice CNSG" w:hAnsi="Garamond"/>
          <w:sz w:val="24"/>
          <w:szCs w:val="24"/>
          <w:lang w:val="es-AR"/>
        </w:rPr>
        <w:t xml:space="preserve"> de ítems que conforman las altas y bajas de Propiedades, planta y equipo desde la fecha del último balance estatutario de la Sociedad, y cotejo con documentación pertinente que acredite su existencia (facturas de compra, órdenes de trabajo, documentación de la venta o destrucción de las bajas de bienes, etc.)</w:t>
      </w:r>
    </w:p>
    <w:p w:rsidR="00606D83" w:rsidRPr="006F54DA" w:rsidRDefault="00606D83" w:rsidP="005E6E11">
      <w:pPr>
        <w:pStyle w:val="NoSpacing"/>
        <w:jc w:val="both"/>
        <w:rPr>
          <w:rFonts w:ascii="Garamond" w:eastAsia="ABBvoice CNSG" w:hAnsi="Garamond"/>
          <w:sz w:val="24"/>
          <w:szCs w:val="24"/>
          <w:lang w:val="es-AR"/>
        </w:rPr>
      </w:pPr>
    </w:p>
    <w:p w:rsidR="00606D83" w:rsidRDefault="00606D83" w:rsidP="00DE6C64">
      <w:pPr>
        <w:pStyle w:val="NoSpacing"/>
        <w:numPr>
          <w:ilvl w:val="0"/>
          <w:numId w:val="7"/>
        </w:numPr>
        <w:ind w:left="1071" w:hanging="357"/>
        <w:jc w:val="both"/>
        <w:rPr>
          <w:rFonts w:ascii="Garamond" w:eastAsia="ABBvoice CNSG" w:hAnsi="Garamond"/>
          <w:sz w:val="24"/>
          <w:szCs w:val="24"/>
          <w:lang w:val="es-AR"/>
        </w:rPr>
      </w:pPr>
      <w:r w:rsidRPr="006F54DA">
        <w:rPr>
          <w:rFonts w:ascii="Garamond" w:eastAsia="ABBvoice CNSG" w:hAnsi="Garamond"/>
          <w:sz w:val="24"/>
          <w:szCs w:val="24"/>
          <w:lang w:val="es-AR"/>
        </w:rPr>
        <w:t>Recálculo del cargo de depreciaciones del período</w:t>
      </w:r>
      <w:r>
        <w:rPr>
          <w:rFonts w:ascii="Garamond" w:eastAsia="ABBvoice CNSG" w:hAnsi="Garamond"/>
          <w:sz w:val="24"/>
          <w:szCs w:val="24"/>
          <w:lang w:val="es-AR"/>
        </w:rPr>
        <w:t>.</w:t>
      </w:r>
    </w:p>
    <w:p w:rsidR="00606D83" w:rsidRPr="006F54DA" w:rsidRDefault="00606D83" w:rsidP="005E6E11">
      <w:pPr>
        <w:pStyle w:val="NoSpacing"/>
        <w:jc w:val="both"/>
        <w:rPr>
          <w:rFonts w:ascii="Garamond" w:eastAsia="ABBvoice CNSG" w:hAnsi="Garamond"/>
          <w:sz w:val="24"/>
          <w:szCs w:val="24"/>
          <w:lang w:val="es-AR"/>
        </w:rPr>
      </w:pPr>
    </w:p>
    <w:p w:rsidR="00606D83" w:rsidRPr="006F54DA" w:rsidRDefault="00606D83" w:rsidP="00DE6C64">
      <w:pPr>
        <w:pStyle w:val="NoSpacing"/>
        <w:numPr>
          <w:ilvl w:val="0"/>
          <w:numId w:val="7"/>
        </w:numPr>
        <w:ind w:left="1071" w:hanging="357"/>
        <w:jc w:val="both"/>
        <w:rPr>
          <w:rFonts w:ascii="Garamond" w:eastAsia="ABBvoice CNSG" w:hAnsi="Garamond"/>
          <w:sz w:val="24"/>
          <w:szCs w:val="24"/>
          <w:lang w:val="es-AR"/>
        </w:rPr>
      </w:pPr>
      <w:r w:rsidRPr="006F54DA">
        <w:rPr>
          <w:rFonts w:ascii="Garamond" w:eastAsia="ABBvoice CNSG" w:hAnsi="Garamond"/>
          <w:sz w:val="24"/>
          <w:szCs w:val="24"/>
          <w:lang w:val="es-AR"/>
        </w:rPr>
        <w:t xml:space="preserve">Recálculo del ajuste por inflación de los bienes que conforman este rubro. </w:t>
      </w:r>
      <w:r>
        <w:rPr>
          <w:rFonts w:ascii="Garamond" w:eastAsia="ABBvoice CNSG" w:hAnsi="Garamond"/>
          <w:sz w:val="24"/>
          <w:szCs w:val="24"/>
          <w:lang w:val="es-AR"/>
        </w:rPr>
        <w:t>{</w:t>
      </w:r>
      <w:r w:rsidRPr="004029AC">
        <w:rPr>
          <w:rFonts w:ascii="Garamond" w:eastAsia="ABBvoice CNSG" w:hAnsi="Garamond"/>
          <w:i/>
          <w:iCs/>
          <w:sz w:val="24"/>
          <w:szCs w:val="24"/>
          <w:lang w:val="es-AR"/>
        </w:rPr>
        <w:t>en caso de corresponder</w:t>
      </w:r>
      <w:r>
        <w:rPr>
          <w:rFonts w:ascii="Garamond" w:eastAsia="ABBvoice CNSG" w:hAnsi="Garamond"/>
          <w:sz w:val="24"/>
          <w:szCs w:val="24"/>
          <w:lang w:val="es-AR"/>
        </w:rPr>
        <w:t>}</w:t>
      </w:r>
    </w:p>
    <w:p w:rsidR="00606D83" w:rsidRPr="006F54DA" w:rsidRDefault="00606D83" w:rsidP="005E6E11">
      <w:pPr>
        <w:pStyle w:val="NoSpacing"/>
        <w:jc w:val="both"/>
        <w:rPr>
          <w:rFonts w:ascii="Garamond" w:eastAsia="ABBvoice CNSG" w:hAnsi="Garamond"/>
          <w:sz w:val="24"/>
          <w:szCs w:val="24"/>
          <w:lang w:val="es-AR"/>
        </w:rPr>
      </w:pPr>
    </w:p>
    <w:p w:rsidR="00606D83" w:rsidRPr="006F54DA" w:rsidRDefault="00606D83" w:rsidP="005E6E11">
      <w:pPr>
        <w:ind w:firstLine="357"/>
        <w:jc w:val="both"/>
        <w:rPr>
          <w:rFonts w:ascii="Garamond" w:hAnsi="Garamond" w:cs="Arial"/>
          <w:b/>
          <w:bCs/>
          <w:color w:val="000000"/>
          <w:sz w:val="24"/>
          <w:szCs w:val="24"/>
          <w:lang w:val="es-AR"/>
        </w:rPr>
      </w:pPr>
      <w:r w:rsidRPr="006F54DA">
        <w:rPr>
          <w:rFonts w:ascii="Garamond" w:hAnsi="Garamond" w:cs="Arial"/>
          <w:b/>
          <w:bCs/>
          <w:color w:val="000000"/>
          <w:sz w:val="24"/>
          <w:szCs w:val="24"/>
          <w:lang w:val="es-AR"/>
        </w:rPr>
        <w:t>VIII. Inversiones en sociedades</w:t>
      </w:r>
    </w:p>
    <w:p w:rsidR="00606D83" w:rsidRPr="005E6E11" w:rsidRDefault="00606D83" w:rsidP="005E6E11">
      <w:pPr>
        <w:jc w:val="both"/>
        <w:rPr>
          <w:rFonts w:ascii="Garamond" w:hAnsi="Garamond" w:cs="Arial"/>
          <w:color w:val="000000"/>
          <w:sz w:val="24"/>
          <w:szCs w:val="24"/>
          <w:lang w:val="es-AR"/>
        </w:rPr>
      </w:pPr>
    </w:p>
    <w:p w:rsidR="00606D83" w:rsidRDefault="00606D83" w:rsidP="00DE6C64">
      <w:pPr>
        <w:pStyle w:val="NoSpacing"/>
        <w:numPr>
          <w:ilvl w:val="0"/>
          <w:numId w:val="8"/>
        </w:numPr>
        <w:ind w:left="1071" w:hanging="357"/>
        <w:jc w:val="both"/>
        <w:rPr>
          <w:rFonts w:ascii="Garamond" w:eastAsia="ABBvoice CNSG" w:hAnsi="Garamond"/>
          <w:sz w:val="24"/>
          <w:szCs w:val="24"/>
          <w:lang w:val="es-AR"/>
        </w:rPr>
      </w:pPr>
      <w:r w:rsidRPr="005E6E11">
        <w:rPr>
          <w:rFonts w:ascii="Garamond" w:eastAsia="ABBvoice CNSG" w:hAnsi="Garamond"/>
          <w:sz w:val="24"/>
          <w:szCs w:val="24"/>
          <w:lang w:val="es-AR"/>
        </w:rPr>
        <w:t>Cotejo de los porcentajes de participación en otras sociedades con documentación de respaldo (registros de accionistas, actas de asamblea, confirmaciones de agentes de registro, etc.)</w:t>
      </w:r>
    </w:p>
    <w:p w:rsidR="00606D83" w:rsidRPr="005E6E11" w:rsidRDefault="00606D83" w:rsidP="005E6E11">
      <w:pPr>
        <w:pStyle w:val="NoSpacing"/>
        <w:jc w:val="both"/>
        <w:rPr>
          <w:rFonts w:ascii="Garamond" w:eastAsia="ABBvoice CNSG" w:hAnsi="Garamond"/>
          <w:sz w:val="24"/>
          <w:szCs w:val="24"/>
          <w:lang w:val="es-AR"/>
        </w:rPr>
      </w:pPr>
    </w:p>
    <w:p w:rsidR="00606D83" w:rsidRPr="006F54DA" w:rsidRDefault="00606D83" w:rsidP="00DE6C64">
      <w:pPr>
        <w:pStyle w:val="NoSpacing"/>
        <w:numPr>
          <w:ilvl w:val="0"/>
          <w:numId w:val="8"/>
        </w:numPr>
        <w:ind w:left="1071" w:hanging="357"/>
        <w:jc w:val="both"/>
        <w:rPr>
          <w:rFonts w:ascii="Garamond" w:eastAsia="ABBvoice CNSG" w:hAnsi="Garamond"/>
          <w:sz w:val="24"/>
          <w:szCs w:val="24"/>
          <w:lang w:val="es-AR"/>
        </w:rPr>
      </w:pPr>
      <w:r w:rsidRPr="006F54DA">
        <w:rPr>
          <w:rFonts w:ascii="Garamond" w:eastAsia="ABBvoice CNSG" w:hAnsi="Garamond"/>
          <w:sz w:val="24"/>
          <w:szCs w:val="24"/>
          <w:lang w:val="es-AR"/>
        </w:rPr>
        <w:t>Para aquellas inversiones en sociedades donde se mantiene control, control conjunto o influencia significativa, recálculo de la determinación del valor patrimonial proporcional a la fecha de cierre del balance general.</w:t>
      </w:r>
    </w:p>
    <w:p w:rsidR="00606D83" w:rsidRPr="006F54DA" w:rsidRDefault="00606D83" w:rsidP="005E6E11">
      <w:pPr>
        <w:pStyle w:val="NoSpacing"/>
        <w:jc w:val="both"/>
        <w:rPr>
          <w:rFonts w:ascii="Garamond" w:eastAsia="ABBvoice CNSG" w:hAnsi="Garamond"/>
          <w:sz w:val="24"/>
          <w:szCs w:val="24"/>
          <w:lang w:val="es-AR"/>
        </w:rPr>
      </w:pPr>
    </w:p>
    <w:p w:rsidR="00606D83" w:rsidRPr="006F54DA" w:rsidRDefault="00606D83" w:rsidP="005E6E11">
      <w:pPr>
        <w:ind w:firstLine="357"/>
        <w:jc w:val="both"/>
        <w:rPr>
          <w:rFonts w:ascii="Garamond" w:hAnsi="Garamond" w:cs="Arial"/>
          <w:b/>
          <w:bCs/>
          <w:color w:val="000000"/>
          <w:sz w:val="24"/>
          <w:szCs w:val="24"/>
          <w:lang w:val="es-AR"/>
        </w:rPr>
      </w:pPr>
      <w:r w:rsidRPr="006F54DA">
        <w:rPr>
          <w:rFonts w:ascii="Garamond" w:hAnsi="Garamond" w:cs="Arial"/>
          <w:b/>
          <w:bCs/>
          <w:color w:val="000000"/>
          <w:sz w:val="24"/>
          <w:szCs w:val="24"/>
          <w:lang w:val="es-AR"/>
        </w:rPr>
        <w:t>IX. Pasivos comerciales</w:t>
      </w:r>
    </w:p>
    <w:p w:rsidR="00606D83" w:rsidRPr="005E6E11" w:rsidRDefault="00606D83" w:rsidP="005E6E11">
      <w:pPr>
        <w:jc w:val="both"/>
        <w:rPr>
          <w:rFonts w:ascii="Garamond" w:hAnsi="Garamond" w:cs="Arial"/>
          <w:color w:val="000000"/>
          <w:sz w:val="24"/>
          <w:szCs w:val="24"/>
          <w:lang w:val="es-AR"/>
        </w:rPr>
      </w:pPr>
    </w:p>
    <w:p w:rsidR="00606D83" w:rsidRDefault="00606D83" w:rsidP="00DE6C64">
      <w:pPr>
        <w:pStyle w:val="NoSpacing"/>
        <w:numPr>
          <w:ilvl w:val="0"/>
          <w:numId w:val="9"/>
        </w:numPr>
        <w:ind w:left="1071" w:hanging="357"/>
        <w:jc w:val="both"/>
        <w:rPr>
          <w:rFonts w:ascii="Garamond" w:eastAsia="ABBvoice CNSG" w:hAnsi="Garamond"/>
          <w:sz w:val="24"/>
          <w:szCs w:val="24"/>
          <w:lang w:val="es-AR"/>
        </w:rPr>
      </w:pPr>
      <w:r w:rsidRPr="006F54DA">
        <w:rPr>
          <w:rFonts w:ascii="Garamond" w:eastAsia="ABBvoice CNSG" w:hAnsi="Garamond"/>
          <w:sz w:val="24"/>
          <w:szCs w:val="24"/>
          <w:lang w:val="es-AR"/>
        </w:rPr>
        <w:t>Cruce de la composición del saldo de pasivos comerciales al 18 de diciembre de 2020 con el saldo incluido en el balance especial adjunto.</w:t>
      </w:r>
    </w:p>
    <w:p w:rsidR="00606D83" w:rsidRPr="006F54DA" w:rsidRDefault="00606D83" w:rsidP="005E6E11">
      <w:pPr>
        <w:pStyle w:val="NoSpacing"/>
        <w:jc w:val="both"/>
        <w:rPr>
          <w:rFonts w:ascii="Garamond" w:eastAsia="ABBvoice CNSG" w:hAnsi="Garamond"/>
          <w:sz w:val="24"/>
          <w:szCs w:val="24"/>
          <w:lang w:val="es-AR"/>
        </w:rPr>
      </w:pPr>
    </w:p>
    <w:p w:rsidR="00606D83" w:rsidRDefault="00606D83" w:rsidP="00DE6C64">
      <w:pPr>
        <w:pStyle w:val="NoSpacing"/>
        <w:numPr>
          <w:ilvl w:val="0"/>
          <w:numId w:val="9"/>
        </w:numPr>
        <w:ind w:left="1071" w:hanging="357"/>
        <w:jc w:val="both"/>
        <w:rPr>
          <w:rFonts w:ascii="Garamond" w:eastAsia="ABBvoice CNSG" w:hAnsi="Garamond"/>
          <w:sz w:val="24"/>
          <w:szCs w:val="24"/>
          <w:lang w:val="es-AR"/>
        </w:rPr>
      </w:pPr>
      <w:r w:rsidRPr="006F54DA">
        <w:rPr>
          <w:rFonts w:ascii="Garamond" w:eastAsia="ABBvoice CNSG" w:hAnsi="Garamond"/>
          <w:sz w:val="24"/>
          <w:szCs w:val="24"/>
          <w:lang w:val="es-AR"/>
        </w:rPr>
        <w:t xml:space="preserve">Selección de una muestra </w:t>
      </w:r>
      <w:r>
        <w:rPr>
          <w:rFonts w:ascii="Garamond" w:eastAsia="ABBvoice CNSG" w:hAnsi="Garamond"/>
          <w:sz w:val="24"/>
          <w:szCs w:val="24"/>
          <w:lang w:val="es-AR"/>
        </w:rPr>
        <w:t>{</w:t>
      </w:r>
      <w:r w:rsidRPr="004029AC">
        <w:rPr>
          <w:rFonts w:ascii="Garamond" w:eastAsia="ABBvoice CNSG" w:hAnsi="Garamond"/>
          <w:i/>
          <w:iCs/>
          <w:sz w:val="24"/>
          <w:szCs w:val="24"/>
          <w:lang w:val="es-AR"/>
        </w:rPr>
        <w:t>aclarar si es representativa</w:t>
      </w:r>
      <w:r>
        <w:rPr>
          <w:rFonts w:ascii="Garamond" w:eastAsia="ABBvoice CNSG" w:hAnsi="Garamond"/>
          <w:sz w:val="24"/>
          <w:szCs w:val="24"/>
          <w:lang w:val="es-AR"/>
        </w:rPr>
        <w:t>}</w:t>
      </w:r>
      <w:r w:rsidRPr="006F54DA">
        <w:rPr>
          <w:rFonts w:ascii="Garamond" w:eastAsia="ABBvoice CNSG" w:hAnsi="Garamond"/>
          <w:sz w:val="24"/>
          <w:szCs w:val="24"/>
          <w:lang w:val="es-AR"/>
        </w:rPr>
        <w:t xml:space="preserve"> de transacciones que conforman el saldo de pasivos comerciales al 18 de diciembre de 2020, y cotejo con documentación que acredita el pago posterior de los mismos o, en caso de no haber sido pagados a la fecha de emisión del balance especial, con documentación pertinente que acredite su existencia (facturas, recepciones, remitos, etc.)</w:t>
      </w:r>
    </w:p>
    <w:p w:rsidR="00606D83" w:rsidRPr="006F54DA" w:rsidRDefault="00606D83" w:rsidP="005E6E11">
      <w:pPr>
        <w:pStyle w:val="NoSpacing"/>
        <w:jc w:val="both"/>
        <w:rPr>
          <w:rFonts w:ascii="Garamond" w:eastAsia="ABBvoice CNSG" w:hAnsi="Garamond"/>
          <w:sz w:val="24"/>
          <w:szCs w:val="24"/>
          <w:lang w:val="es-AR"/>
        </w:rPr>
      </w:pPr>
    </w:p>
    <w:p w:rsidR="00606D83" w:rsidRPr="006F54DA" w:rsidRDefault="00606D83" w:rsidP="00DE6C64">
      <w:pPr>
        <w:pStyle w:val="NoSpacing"/>
        <w:numPr>
          <w:ilvl w:val="0"/>
          <w:numId w:val="9"/>
        </w:numPr>
        <w:ind w:left="1071" w:hanging="357"/>
        <w:jc w:val="both"/>
        <w:rPr>
          <w:rFonts w:ascii="Garamond" w:eastAsia="ABBvoice CNSG" w:hAnsi="Garamond"/>
          <w:sz w:val="24"/>
          <w:szCs w:val="24"/>
          <w:lang w:val="es-AR"/>
        </w:rPr>
      </w:pPr>
      <w:r w:rsidRPr="006F54DA">
        <w:rPr>
          <w:rFonts w:ascii="Garamond" w:eastAsia="ABBvoice CNSG" w:hAnsi="Garamond"/>
          <w:sz w:val="24"/>
          <w:szCs w:val="24"/>
          <w:lang w:val="es-AR"/>
        </w:rPr>
        <w:t xml:space="preserve">Selección de una muestra </w:t>
      </w:r>
      <w:r>
        <w:rPr>
          <w:rFonts w:ascii="Garamond" w:eastAsia="ABBvoice CNSG" w:hAnsi="Garamond"/>
          <w:sz w:val="24"/>
          <w:szCs w:val="24"/>
          <w:lang w:val="es-AR"/>
        </w:rPr>
        <w:t>{</w:t>
      </w:r>
      <w:r w:rsidRPr="00D06E24">
        <w:rPr>
          <w:rFonts w:ascii="Garamond" w:eastAsia="ABBvoice CNSG" w:hAnsi="Garamond"/>
          <w:i/>
          <w:iCs/>
          <w:sz w:val="24"/>
          <w:szCs w:val="24"/>
          <w:lang w:val="es-AR"/>
        </w:rPr>
        <w:t>aclarar si es representativa</w:t>
      </w:r>
      <w:r>
        <w:rPr>
          <w:rFonts w:ascii="Garamond" w:eastAsia="ABBvoice CNSG" w:hAnsi="Garamond"/>
          <w:sz w:val="24"/>
          <w:szCs w:val="24"/>
          <w:lang w:val="es-AR"/>
        </w:rPr>
        <w:t>}</w:t>
      </w:r>
      <w:r w:rsidRPr="006F54DA">
        <w:rPr>
          <w:rFonts w:ascii="Garamond" w:eastAsia="ABBvoice CNSG" w:hAnsi="Garamond"/>
          <w:sz w:val="24"/>
          <w:szCs w:val="24"/>
          <w:lang w:val="es-AR"/>
        </w:rPr>
        <w:t xml:space="preserve"> de transacciones de compras de bienes y/o servicios anteriores y posteriores al 18 de diciembre de 2020</w:t>
      </w:r>
      <w:r>
        <w:rPr>
          <w:rFonts w:ascii="Garamond" w:eastAsia="ABBvoice CNSG" w:hAnsi="Garamond"/>
          <w:sz w:val="24"/>
          <w:szCs w:val="24"/>
          <w:lang w:val="es-AR"/>
        </w:rPr>
        <w:t>,</w:t>
      </w:r>
      <w:r w:rsidRPr="006F54DA">
        <w:rPr>
          <w:rFonts w:ascii="Garamond" w:eastAsia="ABBvoice CNSG" w:hAnsi="Garamond"/>
          <w:sz w:val="24"/>
          <w:szCs w:val="24"/>
          <w:lang w:val="es-AR"/>
        </w:rPr>
        <w:t xml:space="preserve"> a los efectos de verificar con documentación de respaldo pertinente (remitos conformados, aceptación o certificación de servicios, recepciones), para comprobar su apropiada inclusión en o exclusión del, según corresponda, saldo de pasivos comerciales a dicha fecha.</w:t>
      </w:r>
    </w:p>
    <w:p w:rsidR="00606D83" w:rsidRPr="006F54DA" w:rsidRDefault="00606D83" w:rsidP="005E6E11">
      <w:pPr>
        <w:pStyle w:val="NoSpacing"/>
        <w:jc w:val="both"/>
        <w:rPr>
          <w:rFonts w:ascii="Garamond" w:eastAsia="ABBvoice CNSG" w:hAnsi="Garamond"/>
          <w:sz w:val="24"/>
          <w:szCs w:val="24"/>
          <w:lang w:val="es-AR"/>
        </w:rPr>
      </w:pPr>
    </w:p>
    <w:p w:rsidR="00606D83" w:rsidRPr="006F54DA" w:rsidRDefault="00606D83" w:rsidP="005E6E11">
      <w:pPr>
        <w:ind w:firstLine="357"/>
        <w:jc w:val="both"/>
        <w:rPr>
          <w:rFonts w:ascii="Garamond" w:hAnsi="Garamond" w:cs="Arial"/>
          <w:b/>
          <w:bCs/>
          <w:color w:val="000000"/>
          <w:sz w:val="24"/>
          <w:szCs w:val="24"/>
          <w:lang w:val="es-AR"/>
        </w:rPr>
      </w:pPr>
      <w:r w:rsidRPr="006F54DA">
        <w:rPr>
          <w:rFonts w:ascii="Garamond" w:hAnsi="Garamond" w:cs="Arial"/>
          <w:b/>
          <w:bCs/>
          <w:color w:val="000000"/>
          <w:sz w:val="24"/>
          <w:szCs w:val="24"/>
          <w:lang w:val="es-AR"/>
        </w:rPr>
        <w:t>X. Deudas financieras</w:t>
      </w:r>
    </w:p>
    <w:p w:rsidR="00606D83" w:rsidRPr="005E6E11" w:rsidRDefault="00606D83" w:rsidP="005E6E11">
      <w:pPr>
        <w:jc w:val="both"/>
        <w:rPr>
          <w:rFonts w:ascii="Garamond" w:hAnsi="Garamond" w:cs="Arial"/>
          <w:color w:val="000000"/>
          <w:sz w:val="24"/>
          <w:szCs w:val="24"/>
          <w:lang w:val="es-AR"/>
        </w:rPr>
      </w:pPr>
    </w:p>
    <w:p w:rsidR="00606D83" w:rsidRDefault="00606D83" w:rsidP="00DE6C64">
      <w:pPr>
        <w:pStyle w:val="NoSpacing"/>
        <w:numPr>
          <w:ilvl w:val="0"/>
          <w:numId w:val="10"/>
        </w:numPr>
        <w:ind w:left="1071" w:hanging="357"/>
        <w:jc w:val="both"/>
        <w:rPr>
          <w:rFonts w:ascii="Garamond" w:eastAsia="ABBvoice CNSG" w:hAnsi="Garamond"/>
          <w:sz w:val="24"/>
          <w:szCs w:val="24"/>
          <w:lang w:val="es-AR"/>
        </w:rPr>
      </w:pPr>
      <w:r w:rsidRPr="005E6E11">
        <w:rPr>
          <w:rFonts w:ascii="Garamond" w:eastAsia="ABBvoice CNSG" w:hAnsi="Garamond"/>
          <w:sz w:val="24"/>
          <w:szCs w:val="24"/>
          <w:lang w:val="es-AR"/>
        </w:rPr>
        <w:t>Cruce de la composición de deudas financieras, por préstamo y acreedor, con el saldo del rubro de acuerdo con el balance especial</w:t>
      </w:r>
      <w:r>
        <w:rPr>
          <w:rFonts w:ascii="Garamond" w:eastAsia="ABBvoice CNSG" w:hAnsi="Garamond"/>
          <w:sz w:val="24"/>
          <w:szCs w:val="24"/>
          <w:lang w:val="es-AR"/>
        </w:rPr>
        <w:t>.</w:t>
      </w:r>
    </w:p>
    <w:p w:rsidR="00606D83" w:rsidRPr="005E6E11" w:rsidRDefault="00606D83" w:rsidP="005E6E11">
      <w:pPr>
        <w:pStyle w:val="NoSpacing"/>
        <w:jc w:val="both"/>
        <w:rPr>
          <w:rFonts w:ascii="Garamond" w:eastAsia="ABBvoice CNSG" w:hAnsi="Garamond"/>
          <w:sz w:val="24"/>
          <w:szCs w:val="24"/>
          <w:lang w:val="es-AR"/>
        </w:rPr>
      </w:pPr>
    </w:p>
    <w:p w:rsidR="00606D83" w:rsidRDefault="00606D83" w:rsidP="00DE6C64">
      <w:pPr>
        <w:pStyle w:val="NoSpacing"/>
        <w:numPr>
          <w:ilvl w:val="0"/>
          <w:numId w:val="10"/>
        </w:numPr>
        <w:ind w:left="1071" w:hanging="357"/>
        <w:jc w:val="both"/>
        <w:rPr>
          <w:rFonts w:ascii="Garamond" w:eastAsia="ABBvoice CNSG" w:hAnsi="Garamond"/>
          <w:sz w:val="24"/>
          <w:szCs w:val="24"/>
          <w:lang w:val="es-AR"/>
        </w:rPr>
      </w:pPr>
      <w:r w:rsidRPr="005E6E11">
        <w:rPr>
          <w:rFonts w:ascii="Garamond" w:eastAsia="ABBvoice CNSG" w:hAnsi="Garamond"/>
          <w:sz w:val="24"/>
          <w:szCs w:val="24"/>
          <w:lang w:val="es-AR"/>
        </w:rPr>
        <w:t>Cruce de las deudas financieras con documentación emitida por las instituciones financieras acreedoras. En caso de que la documentación revisada corresponda a una fecha distinta al 18 de diciembre, solicitar la reconciliación de los saldos a ambas fechas con documentación que respalde los movimientos.</w:t>
      </w:r>
    </w:p>
    <w:p w:rsidR="00606D83" w:rsidRDefault="00606D83" w:rsidP="005E6E11">
      <w:pPr>
        <w:pStyle w:val="NoSpacing"/>
        <w:jc w:val="both"/>
        <w:rPr>
          <w:rFonts w:ascii="Garamond" w:eastAsia="ABBvoice CNSG" w:hAnsi="Garamond"/>
          <w:sz w:val="24"/>
          <w:szCs w:val="24"/>
          <w:lang w:val="es-AR"/>
        </w:rPr>
      </w:pPr>
    </w:p>
    <w:p w:rsidR="00606D83" w:rsidRPr="006F54DA" w:rsidRDefault="00606D83" w:rsidP="00DE6C64">
      <w:pPr>
        <w:pStyle w:val="NoSpacing"/>
        <w:numPr>
          <w:ilvl w:val="0"/>
          <w:numId w:val="10"/>
        </w:numPr>
        <w:ind w:left="1071" w:hanging="357"/>
        <w:jc w:val="both"/>
        <w:rPr>
          <w:rFonts w:ascii="Garamond" w:eastAsia="ABBvoice CNSG" w:hAnsi="Garamond"/>
          <w:sz w:val="24"/>
          <w:szCs w:val="24"/>
          <w:lang w:val="es-AR"/>
        </w:rPr>
      </w:pPr>
      <w:r w:rsidRPr="006F54DA">
        <w:rPr>
          <w:rFonts w:ascii="Garamond" w:eastAsia="ABBvoice CNSG" w:hAnsi="Garamond"/>
          <w:sz w:val="24"/>
          <w:szCs w:val="24"/>
          <w:lang w:val="es-AR"/>
        </w:rPr>
        <w:t>Recálculo de los intereses devengados a pagar al 18 de diciembre de 2020 correspondientes a las deudas financieras.</w:t>
      </w:r>
    </w:p>
    <w:p w:rsidR="00606D83" w:rsidRPr="006F54DA" w:rsidRDefault="00606D83" w:rsidP="005E6E11">
      <w:pPr>
        <w:pStyle w:val="NoSpacing"/>
        <w:jc w:val="both"/>
        <w:rPr>
          <w:rFonts w:ascii="Garamond" w:eastAsia="ABBvoice CNSG" w:hAnsi="Garamond"/>
          <w:sz w:val="24"/>
          <w:szCs w:val="24"/>
          <w:lang w:val="es-AR"/>
        </w:rPr>
      </w:pPr>
    </w:p>
    <w:p w:rsidR="00606D83" w:rsidRPr="006F54DA" w:rsidRDefault="00606D83" w:rsidP="005E6E11">
      <w:pPr>
        <w:ind w:firstLine="357"/>
        <w:jc w:val="both"/>
        <w:rPr>
          <w:rFonts w:ascii="Garamond" w:hAnsi="Garamond" w:cs="Arial"/>
          <w:b/>
          <w:bCs/>
          <w:color w:val="000000"/>
          <w:sz w:val="24"/>
          <w:szCs w:val="24"/>
          <w:lang w:val="es-AR"/>
        </w:rPr>
      </w:pPr>
      <w:r w:rsidRPr="006F54DA">
        <w:rPr>
          <w:rFonts w:ascii="Garamond" w:hAnsi="Garamond" w:cs="Arial"/>
          <w:b/>
          <w:bCs/>
          <w:color w:val="000000"/>
          <w:sz w:val="24"/>
          <w:szCs w:val="24"/>
          <w:lang w:val="es-AR"/>
        </w:rPr>
        <w:t>XI. Deudas sociales</w:t>
      </w:r>
    </w:p>
    <w:p w:rsidR="00606D83" w:rsidRPr="005E6E11" w:rsidRDefault="00606D83" w:rsidP="005E6E11">
      <w:pPr>
        <w:jc w:val="both"/>
        <w:rPr>
          <w:rFonts w:ascii="Garamond" w:hAnsi="Garamond" w:cs="Arial"/>
          <w:color w:val="000000"/>
          <w:sz w:val="24"/>
          <w:szCs w:val="24"/>
          <w:lang w:val="es-AR"/>
        </w:rPr>
      </w:pPr>
    </w:p>
    <w:p w:rsidR="00606D83" w:rsidRDefault="00606D83" w:rsidP="00DE6C64">
      <w:pPr>
        <w:pStyle w:val="NoSpacing"/>
        <w:numPr>
          <w:ilvl w:val="0"/>
          <w:numId w:val="11"/>
        </w:numPr>
        <w:ind w:left="1071" w:hanging="357"/>
        <w:jc w:val="both"/>
        <w:rPr>
          <w:rFonts w:ascii="Garamond" w:eastAsia="ABBvoice CNSG" w:hAnsi="Garamond"/>
          <w:sz w:val="24"/>
          <w:szCs w:val="24"/>
          <w:lang w:val="es-AR"/>
        </w:rPr>
      </w:pPr>
      <w:r w:rsidRPr="006F54DA">
        <w:rPr>
          <w:rFonts w:ascii="Garamond" w:eastAsia="ABBvoice CNSG" w:hAnsi="Garamond"/>
          <w:sz w:val="24"/>
          <w:szCs w:val="24"/>
          <w:lang w:val="es-AR"/>
        </w:rPr>
        <w:t xml:space="preserve">Cruce de la composición de </w:t>
      </w:r>
      <w:r>
        <w:rPr>
          <w:rFonts w:ascii="Garamond" w:eastAsia="ABBvoice CNSG" w:hAnsi="Garamond"/>
          <w:sz w:val="24"/>
          <w:szCs w:val="24"/>
          <w:lang w:val="es-AR"/>
        </w:rPr>
        <w:t>d</w:t>
      </w:r>
      <w:r w:rsidRPr="006F54DA">
        <w:rPr>
          <w:rFonts w:ascii="Garamond" w:eastAsia="ABBvoice CNSG" w:hAnsi="Garamond"/>
          <w:sz w:val="24"/>
          <w:szCs w:val="24"/>
          <w:lang w:val="es-AR"/>
        </w:rPr>
        <w:t>eudas sociales, por concepto (</w:t>
      </w:r>
      <w:r>
        <w:rPr>
          <w:rFonts w:ascii="Garamond" w:eastAsia="ABBvoice CNSG" w:hAnsi="Garamond"/>
          <w:sz w:val="24"/>
          <w:szCs w:val="24"/>
          <w:lang w:val="es-AR"/>
        </w:rPr>
        <w:t>s</w:t>
      </w:r>
      <w:r w:rsidRPr="006F54DA">
        <w:rPr>
          <w:rFonts w:ascii="Garamond" w:eastAsia="ABBvoice CNSG" w:hAnsi="Garamond"/>
          <w:sz w:val="24"/>
          <w:szCs w:val="24"/>
          <w:lang w:val="es-AR"/>
        </w:rPr>
        <w:t xml:space="preserve">ueldos devengados del mes, cargas sociales proporcionales, planes de facilidades de pago de </w:t>
      </w:r>
      <w:r>
        <w:rPr>
          <w:rFonts w:ascii="Garamond" w:eastAsia="ABBvoice CNSG" w:hAnsi="Garamond"/>
          <w:sz w:val="24"/>
          <w:szCs w:val="24"/>
          <w:lang w:val="es-AR"/>
        </w:rPr>
        <w:t>c</w:t>
      </w:r>
      <w:r w:rsidRPr="006F54DA">
        <w:rPr>
          <w:rFonts w:ascii="Garamond" w:eastAsia="ABBvoice CNSG" w:hAnsi="Garamond"/>
          <w:sz w:val="24"/>
          <w:szCs w:val="24"/>
          <w:lang w:val="es-AR"/>
        </w:rPr>
        <w:t xml:space="preserve">argas </w:t>
      </w:r>
      <w:r>
        <w:rPr>
          <w:rFonts w:ascii="Garamond" w:eastAsia="ABBvoice CNSG" w:hAnsi="Garamond"/>
          <w:sz w:val="24"/>
          <w:szCs w:val="24"/>
          <w:lang w:val="es-AR"/>
        </w:rPr>
        <w:t>s</w:t>
      </w:r>
      <w:r w:rsidRPr="006F54DA">
        <w:rPr>
          <w:rFonts w:ascii="Garamond" w:eastAsia="ABBvoice CNSG" w:hAnsi="Garamond"/>
          <w:sz w:val="24"/>
          <w:szCs w:val="24"/>
          <w:lang w:val="es-AR"/>
        </w:rPr>
        <w:t>ociales, provisiones de vacaciones y SAC, etc.), con el saldo del rubro de acuerdo con el balance especial.</w:t>
      </w:r>
    </w:p>
    <w:p w:rsidR="00606D83" w:rsidRPr="006F54DA" w:rsidRDefault="00606D83" w:rsidP="005E6E11">
      <w:pPr>
        <w:pStyle w:val="NoSpacing"/>
        <w:jc w:val="both"/>
        <w:rPr>
          <w:rFonts w:ascii="Garamond" w:eastAsia="ABBvoice CNSG" w:hAnsi="Garamond"/>
          <w:sz w:val="24"/>
          <w:szCs w:val="24"/>
          <w:lang w:val="es-AR"/>
        </w:rPr>
      </w:pPr>
    </w:p>
    <w:p w:rsidR="00606D83" w:rsidRDefault="00606D83" w:rsidP="00DE6C64">
      <w:pPr>
        <w:pStyle w:val="NoSpacing"/>
        <w:numPr>
          <w:ilvl w:val="0"/>
          <w:numId w:val="11"/>
        </w:numPr>
        <w:ind w:left="1071" w:hanging="357"/>
        <w:jc w:val="both"/>
        <w:rPr>
          <w:rFonts w:ascii="Garamond" w:eastAsia="ABBvoice CNSG" w:hAnsi="Garamond"/>
          <w:sz w:val="24"/>
          <w:szCs w:val="24"/>
          <w:lang w:val="es-AR"/>
        </w:rPr>
      </w:pPr>
      <w:r w:rsidRPr="006F54DA">
        <w:rPr>
          <w:rFonts w:ascii="Garamond" w:eastAsia="ABBvoice CNSG" w:hAnsi="Garamond"/>
          <w:sz w:val="24"/>
          <w:szCs w:val="24"/>
          <w:lang w:val="es-AR"/>
        </w:rPr>
        <w:t>Recálculo de la proporción de pasivos por sueldos y cargas sociales devengadas a la fecha de cierre del balance especial</w:t>
      </w:r>
      <w:r>
        <w:rPr>
          <w:rFonts w:ascii="Garamond" w:eastAsia="ABBvoice CNSG" w:hAnsi="Garamond"/>
          <w:sz w:val="24"/>
          <w:szCs w:val="24"/>
          <w:lang w:val="es-AR"/>
        </w:rPr>
        <w:t>.</w:t>
      </w:r>
    </w:p>
    <w:p w:rsidR="00606D83" w:rsidRPr="006F54DA" w:rsidRDefault="00606D83" w:rsidP="005E6E11">
      <w:pPr>
        <w:pStyle w:val="NoSpacing"/>
        <w:jc w:val="both"/>
        <w:rPr>
          <w:rFonts w:ascii="Garamond" w:eastAsia="ABBvoice CNSG" w:hAnsi="Garamond"/>
          <w:sz w:val="24"/>
          <w:szCs w:val="24"/>
          <w:lang w:val="es-AR"/>
        </w:rPr>
      </w:pPr>
    </w:p>
    <w:p w:rsidR="00606D83" w:rsidRPr="006F54DA" w:rsidRDefault="00606D83" w:rsidP="00DE6C64">
      <w:pPr>
        <w:pStyle w:val="NoSpacing"/>
        <w:numPr>
          <w:ilvl w:val="0"/>
          <w:numId w:val="11"/>
        </w:numPr>
        <w:ind w:left="1071" w:hanging="357"/>
        <w:jc w:val="both"/>
        <w:rPr>
          <w:rFonts w:ascii="Garamond" w:eastAsia="ABBvoice CNSG" w:hAnsi="Garamond"/>
          <w:sz w:val="24"/>
          <w:szCs w:val="24"/>
          <w:lang w:val="es-AR"/>
        </w:rPr>
      </w:pPr>
      <w:r w:rsidRPr="006F54DA">
        <w:rPr>
          <w:rFonts w:ascii="Garamond" w:eastAsia="ABBvoice CNSG" w:hAnsi="Garamond"/>
          <w:sz w:val="24"/>
          <w:szCs w:val="24"/>
          <w:lang w:val="es-AR"/>
        </w:rPr>
        <w:t>Recálculo de las provisiones de vacaciones, sueldo anual complementario y gratificaciones a la fecha de cierre del balance especial.</w:t>
      </w:r>
    </w:p>
    <w:p w:rsidR="00606D83" w:rsidRPr="006F54DA" w:rsidRDefault="00606D83" w:rsidP="005E6E11">
      <w:pPr>
        <w:pStyle w:val="NoSpacing"/>
        <w:jc w:val="both"/>
        <w:rPr>
          <w:rFonts w:ascii="Garamond" w:eastAsia="ABBvoice CNSG" w:hAnsi="Garamond"/>
          <w:sz w:val="24"/>
          <w:szCs w:val="24"/>
          <w:lang w:val="es-AR"/>
        </w:rPr>
      </w:pPr>
    </w:p>
    <w:p w:rsidR="00606D83" w:rsidRPr="006F54DA" w:rsidRDefault="00606D83" w:rsidP="005E6E11">
      <w:pPr>
        <w:ind w:firstLine="357"/>
        <w:jc w:val="both"/>
        <w:rPr>
          <w:rFonts w:ascii="Garamond" w:hAnsi="Garamond" w:cs="Arial"/>
          <w:b/>
          <w:bCs/>
          <w:color w:val="000000"/>
          <w:sz w:val="24"/>
          <w:szCs w:val="24"/>
          <w:lang w:val="es-AR"/>
        </w:rPr>
      </w:pPr>
      <w:r w:rsidRPr="006F54DA">
        <w:rPr>
          <w:rFonts w:ascii="Garamond" w:hAnsi="Garamond" w:cs="Arial"/>
          <w:b/>
          <w:bCs/>
          <w:color w:val="000000"/>
          <w:sz w:val="24"/>
          <w:szCs w:val="24"/>
          <w:lang w:val="es-AR"/>
        </w:rPr>
        <w:t>XII. Deudas fiscales</w:t>
      </w:r>
    </w:p>
    <w:p w:rsidR="00606D83" w:rsidRPr="005E6E11" w:rsidRDefault="00606D83" w:rsidP="005E3B04">
      <w:pPr>
        <w:jc w:val="both"/>
        <w:rPr>
          <w:rFonts w:ascii="Garamond" w:hAnsi="Garamond" w:cs="Arial"/>
          <w:color w:val="000000"/>
          <w:sz w:val="24"/>
          <w:szCs w:val="24"/>
          <w:lang w:val="es-AR"/>
        </w:rPr>
      </w:pPr>
    </w:p>
    <w:p w:rsidR="00606D83" w:rsidRDefault="00606D83" w:rsidP="00DE6C64">
      <w:pPr>
        <w:pStyle w:val="NoSpacing"/>
        <w:numPr>
          <w:ilvl w:val="0"/>
          <w:numId w:val="12"/>
        </w:numPr>
        <w:ind w:left="1071" w:hanging="357"/>
        <w:jc w:val="both"/>
        <w:rPr>
          <w:rFonts w:ascii="Garamond" w:eastAsia="ABBvoice CNSG" w:hAnsi="Garamond"/>
          <w:sz w:val="24"/>
          <w:szCs w:val="24"/>
          <w:lang w:val="es-AR"/>
        </w:rPr>
      </w:pPr>
      <w:r w:rsidRPr="005E3B04">
        <w:rPr>
          <w:rFonts w:ascii="Garamond" w:eastAsia="ABBvoice CNSG" w:hAnsi="Garamond"/>
          <w:sz w:val="24"/>
          <w:szCs w:val="24"/>
          <w:lang w:val="es-AR"/>
        </w:rPr>
        <w:t xml:space="preserve">Cruce de la composición de </w:t>
      </w:r>
      <w:r>
        <w:rPr>
          <w:rFonts w:ascii="Garamond" w:eastAsia="ABBvoice CNSG" w:hAnsi="Garamond"/>
          <w:sz w:val="24"/>
          <w:szCs w:val="24"/>
          <w:lang w:val="es-AR"/>
        </w:rPr>
        <w:t>d</w:t>
      </w:r>
      <w:r w:rsidRPr="005E3B04">
        <w:rPr>
          <w:rFonts w:ascii="Garamond" w:eastAsia="ABBvoice CNSG" w:hAnsi="Garamond"/>
          <w:sz w:val="24"/>
          <w:szCs w:val="24"/>
          <w:lang w:val="es-AR"/>
        </w:rPr>
        <w:t>eudas fiscales por tipo de impuesto, con el saldo del rubro de acuerdo con el balance especial.</w:t>
      </w:r>
    </w:p>
    <w:p w:rsidR="00606D83" w:rsidRPr="005E3B04" w:rsidRDefault="00606D83" w:rsidP="005E3B04">
      <w:pPr>
        <w:pStyle w:val="NoSpacing"/>
        <w:jc w:val="both"/>
        <w:rPr>
          <w:rFonts w:ascii="Garamond" w:eastAsia="ABBvoice CNSG" w:hAnsi="Garamond"/>
          <w:sz w:val="24"/>
          <w:szCs w:val="24"/>
          <w:lang w:val="es-AR"/>
        </w:rPr>
      </w:pPr>
    </w:p>
    <w:p w:rsidR="00606D83" w:rsidRPr="006F54DA" w:rsidRDefault="00606D83" w:rsidP="00DE6C64">
      <w:pPr>
        <w:pStyle w:val="NoSpacing"/>
        <w:numPr>
          <w:ilvl w:val="0"/>
          <w:numId w:val="12"/>
        </w:numPr>
        <w:ind w:left="1071" w:hanging="357"/>
        <w:jc w:val="both"/>
        <w:rPr>
          <w:rFonts w:ascii="Garamond" w:eastAsia="ABBvoice CNSG" w:hAnsi="Garamond"/>
          <w:sz w:val="24"/>
          <w:szCs w:val="24"/>
          <w:lang w:val="es-AR"/>
        </w:rPr>
      </w:pPr>
      <w:r w:rsidRPr="006F54DA">
        <w:rPr>
          <w:rFonts w:ascii="Garamond" w:eastAsia="ABBvoice CNSG" w:hAnsi="Garamond"/>
          <w:sz w:val="24"/>
          <w:szCs w:val="24"/>
          <w:lang w:val="es-AR"/>
        </w:rPr>
        <w:t>Recálculo de la provisión de impuesto a las ganancias devengada al cierre del balance especial.</w:t>
      </w:r>
    </w:p>
    <w:p w:rsidR="00606D83" w:rsidRPr="006F54DA" w:rsidRDefault="00606D83" w:rsidP="005E3B04">
      <w:pPr>
        <w:pStyle w:val="NoSpacing"/>
        <w:jc w:val="both"/>
        <w:rPr>
          <w:rFonts w:ascii="Garamond" w:eastAsia="ABBvoice CNSG" w:hAnsi="Garamond"/>
          <w:sz w:val="24"/>
          <w:szCs w:val="24"/>
          <w:lang w:val="es-AR"/>
        </w:rPr>
      </w:pPr>
    </w:p>
    <w:p w:rsidR="00606D83" w:rsidRPr="006F54DA" w:rsidRDefault="00606D83" w:rsidP="005E3B04">
      <w:pPr>
        <w:ind w:firstLine="357"/>
        <w:jc w:val="both"/>
        <w:rPr>
          <w:rFonts w:ascii="Garamond" w:hAnsi="Garamond" w:cs="Arial"/>
          <w:b/>
          <w:bCs/>
          <w:color w:val="000000"/>
          <w:sz w:val="24"/>
          <w:szCs w:val="24"/>
          <w:lang w:val="es-AR"/>
        </w:rPr>
      </w:pPr>
      <w:r w:rsidRPr="006F54DA">
        <w:rPr>
          <w:rFonts w:ascii="Garamond" w:hAnsi="Garamond" w:cs="Arial"/>
          <w:b/>
          <w:bCs/>
          <w:color w:val="000000"/>
          <w:sz w:val="24"/>
          <w:szCs w:val="24"/>
          <w:lang w:val="es-AR"/>
        </w:rPr>
        <w:t>XIII. Previsiones</w:t>
      </w:r>
    </w:p>
    <w:p w:rsidR="00606D83" w:rsidRPr="005E3B04" w:rsidRDefault="00606D83" w:rsidP="005E3B04">
      <w:pPr>
        <w:jc w:val="both"/>
        <w:rPr>
          <w:rFonts w:ascii="Garamond" w:hAnsi="Garamond" w:cs="Arial"/>
          <w:color w:val="000000"/>
          <w:sz w:val="24"/>
          <w:szCs w:val="24"/>
          <w:lang w:val="es-AR"/>
        </w:rPr>
      </w:pPr>
    </w:p>
    <w:p w:rsidR="00606D83" w:rsidRPr="006F54DA" w:rsidRDefault="00606D83" w:rsidP="00DE6C64">
      <w:pPr>
        <w:pStyle w:val="NoSpacing"/>
        <w:numPr>
          <w:ilvl w:val="0"/>
          <w:numId w:val="13"/>
        </w:numPr>
        <w:ind w:left="1071" w:hanging="357"/>
        <w:jc w:val="both"/>
        <w:rPr>
          <w:rFonts w:ascii="Garamond" w:eastAsia="ABBvoice CNSG" w:hAnsi="Garamond"/>
          <w:sz w:val="24"/>
          <w:szCs w:val="24"/>
          <w:lang w:val="es-AR"/>
        </w:rPr>
      </w:pPr>
      <w:r w:rsidRPr="006F54DA">
        <w:rPr>
          <w:rFonts w:ascii="Garamond" w:eastAsia="ABBvoice CNSG" w:hAnsi="Garamond"/>
          <w:sz w:val="24"/>
          <w:szCs w:val="24"/>
          <w:lang w:val="es-AR"/>
        </w:rPr>
        <w:t>Cotejo de los saldos de previsiones por juicios o contingencias con documentación que respalde dichas estimaciones (informes o confirmaciones de asesores legales, documentos de índole legal, etc.)</w:t>
      </w:r>
    </w:p>
    <w:p w:rsidR="00606D83" w:rsidRPr="006F54DA" w:rsidRDefault="00606D83" w:rsidP="005E3B04">
      <w:pPr>
        <w:pStyle w:val="NoSpacing"/>
        <w:jc w:val="both"/>
        <w:rPr>
          <w:rFonts w:ascii="Garamond" w:eastAsia="ABBvoice CNSG" w:hAnsi="Garamond"/>
          <w:sz w:val="24"/>
          <w:szCs w:val="24"/>
          <w:lang w:val="es-AR"/>
        </w:rPr>
      </w:pPr>
    </w:p>
    <w:p w:rsidR="00606D83" w:rsidRPr="006F54DA" w:rsidRDefault="00606D83" w:rsidP="00D06E24">
      <w:pPr>
        <w:ind w:left="714"/>
        <w:jc w:val="both"/>
        <w:rPr>
          <w:rFonts w:ascii="Garamond" w:hAnsi="Garamond" w:cs="Arial"/>
          <w:color w:val="000000"/>
          <w:sz w:val="24"/>
          <w:szCs w:val="24"/>
          <w:lang w:val="es-AR"/>
        </w:rPr>
      </w:pPr>
      <w:r w:rsidRPr="006F54DA">
        <w:rPr>
          <w:rFonts w:ascii="Garamond" w:hAnsi="Garamond" w:cs="Arial"/>
          <w:color w:val="000000"/>
          <w:sz w:val="24"/>
          <w:szCs w:val="24"/>
          <w:lang w:val="es-AR"/>
        </w:rPr>
        <w:t>{</w:t>
      </w:r>
      <w:r w:rsidRPr="00D06E24">
        <w:rPr>
          <w:rFonts w:ascii="Garamond" w:hAnsi="Garamond" w:cs="Arial"/>
          <w:i/>
          <w:iCs/>
          <w:color w:val="000000"/>
          <w:sz w:val="24"/>
          <w:szCs w:val="24"/>
          <w:lang w:val="es-AR"/>
        </w:rPr>
        <w:t>Agregar en forma detallada otros procedimientos que se hubiesen aplicado</w:t>
      </w:r>
      <w:r w:rsidRPr="006F54DA">
        <w:rPr>
          <w:rFonts w:ascii="Garamond" w:hAnsi="Garamond" w:cs="Arial"/>
          <w:color w:val="000000"/>
          <w:sz w:val="24"/>
          <w:szCs w:val="24"/>
          <w:lang w:val="es-AR"/>
        </w:rPr>
        <w:t>}</w:t>
      </w:r>
    </w:p>
    <w:p w:rsidR="00606D83" w:rsidRPr="006F54DA" w:rsidRDefault="00606D83" w:rsidP="005E3B04">
      <w:pPr>
        <w:jc w:val="both"/>
        <w:rPr>
          <w:rFonts w:ascii="Garamond" w:hAnsi="Garamond"/>
          <w:color w:val="000000"/>
          <w:sz w:val="24"/>
          <w:szCs w:val="24"/>
          <w:lang w:val="es-AR"/>
        </w:rPr>
      </w:pPr>
    </w:p>
    <w:p w:rsidR="00606D83" w:rsidRPr="006F54DA" w:rsidRDefault="00606D83" w:rsidP="00DE6C64">
      <w:pPr>
        <w:pStyle w:val="ListParagraph"/>
        <w:numPr>
          <w:ilvl w:val="0"/>
          <w:numId w:val="14"/>
        </w:numPr>
        <w:ind w:left="357" w:hanging="357"/>
        <w:jc w:val="both"/>
        <w:rPr>
          <w:rFonts w:ascii="Garamond" w:hAnsi="Garamond"/>
          <w:b/>
          <w:bCs/>
          <w:color w:val="010302"/>
          <w:sz w:val="24"/>
          <w:szCs w:val="24"/>
          <w:lang w:val="es-AR"/>
        </w:rPr>
      </w:pPr>
      <w:r w:rsidRPr="006F54DA">
        <w:rPr>
          <w:rFonts w:ascii="Garamond" w:hAnsi="Garamond" w:cs="Arial"/>
          <w:b/>
          <w:bCs/>
          <w:color w:val="000000"/>
          <w:sz w:val="24"/>
          <w:szCs w:val="24"/>
          <w:lang w:val="es-AR"/>
        </w:rPr>
        <w:t>Manifesta</w:t>
      </w:r>
      <w:r w:rsidRPr="006F54DA">
        <w:rPr>
          <w:rFonts w:ascii="Garamond" w:hAnsi="Garamond" w:cs="Arial"/>
          <w:b/>
          <w:bCs/>
          <w:color w:val="000000"/>
          <w:spacing w:val="-4"/>
          <w:sz w:val="24"/>
          <w:szCs w:val="24"/>
          <w:lang w:val="es-AR"/>
        </w:rPr>
        <w:t>c</w:t>
      </w:r>
      <w:r w:rsidRPr="006F54DA">
        <w:rPr>
          <w:rFonts w:ascii="Garamond" w:hAnsi="Garamond" w:cs="Arial"/>
          <w:b/>
          <w:bCs/>
          <w:color w:val="000000"/>
          <w:sz w:val="24"/>
          <w:szCs w:val="24"/>
          <w:lang w:val="es-AR"/>
        </w:rPr>
        <w:t xml:space="preserve">ión </w:t>
      </w:r>
      <w:r w:rsidRPr="006F54DA">
        <w:rPr>
          <w:rFonts w:ascii="Garamond" w:hAnsi="Garamond" w:cs="Arial"/>
          <w:b/>
          <w:bCs/>
          <w:color w:val="000000"/>
          <w:spacing w:val="-3"/>
          <w:sz w:val="24"/>
          <w:szCs w:val="24"/>
          <w:lang w:val="es-AR"/>
        </w:rPr>
        <w:t>p</w:t>
      </w:r>
      <w:r w:rsidRPr="006F54DA">
        <w:rPr>
          <w:rFonts w:ascii="Garamond" w:hAnsi="Garamond" w:cs="Arial"/>
          <w:b/>
          <w:bCs/>
          <w:color w:val="000000"/>
          <w:sz w:val="24"/>
          <w:szCs w:val="24"/>
          <w:lang w:val="es-AR"/>
        </w:rPr>
        <w:t>rofe</w:t>
      </w:r>
      <w:r w:rsidRPr="006F54DA">
        <w:rPr>
          <w:rFonts w:ascii="Garamond" w:hAnsi="Garamond" w:cs="Arial"/>
          <w:b/>
          <w:bCs/>
          <w:color w:val="000000"/>
          <w:spacing w:val="-4"/>
          <w:sz w:val="24"/>
          <w:szCs w:val="24"/>
          <w:lang w:val="es-AR"/>
        </w:rPr>
        <w:t>s</w:t>
      </w:r>
      <w:r w:rsidRPr="006F54DA">
        <w:rPr>
          <w:rFonts w:ascii="Garamond" w:hAnsi="Garamond" w:cs="Arial"/>
          <w:b/>
          <w:bCs/>
          <w:color w:val="000000"/>
          <w:sz w:val="24"/>
          <w:szCs w:val="24"/>
          <w:lang w:val="es-AR"/>
        </w:rPr>
        <w:t>i</w:t>
      </w:r>
      <w:r w:rsidRPr="006F54DA">
        <w:rPr>
          <w:rFonts w:ascii="Garamond" w:hAnsi="Garamond" w:cs="Arial"/>
          <w:b/>
          <w:bCs/>
          <w:color w:val="000000"/>
          <w:spacing w:val="-3"/>
          <w:sz w:val="24"/>
          <w:szCs w:val="24"/>
          <w:lang w:val="es-AR"/>
        </w:rPr>
        <w:t>o</w:t>
      </w:r>
      <w:r w:rsidRPr="006F54DA">
        <w:rPr>
          <w:rFonts w:ascii="Garamond" w:hAnsi="Garamond" w:cs="Arial"/>
          <w:b/>
          <w:bCs/>
          <w:color w:val="000000"/>
          <w:sz w:val="24"/>
          <w:szCs w:val="24"/>
          <w:lang w:val="es-AR"/>
        </w:rPr>
        <w:t>nal</w:t>
      </w:r>
    </w:p>
    <w:p w:rsidR="00606D83" w:rsidRPr="006F54DA" w:rsidRDefault="00606D83" w:rsidP="005E3B04">
      <w:pPr>
        <w:jc w:val="both"/>
        <w:rPr>
          <w:rFonts w:ascii="Garamond" w:hAnsi="Garamond"/>
          <w:color w:val="010302"/>
          <w:sz w:val="24"/>
          <w:szCs w:val="24"/>
          <w:lang w:val="es-AR"/>
        </w:rPr>
      </w:pPr>
    </w:p>
    <w:p w:rsidR="00606D83" w:rsidRPr="006F54DA" w:rsidRDefault="00606D83" w:rsidP="005E3B04">
      <w:pPr>
        <w:ind w:left="357"/>
        <w:jc w:val="both"/>
        <w:rPr>
          <w:rFonts w:ascii="Garamond" w:hAnsi="Garamond" w:cs="Arial"/>
          <w:color w:val="000000"/>
          <w:sz w:val="24"/>
          <w:szCs w:val="24"/>
          <w:lang w:val="es-AR"/>
        </w:rPr>
      </w:pPr>
      <w:r w:rsidRPr="006F54DA">
        <w:rPr>
          <w:rFonts w:ascii="Garamond" w:hAnsi="Garamond" w:cs="Arial"/>
          <w:color w:val="000000"/>
          <w:sz w:val="24"/>
          <w:szCs w:val="24"/>
          <w:lang w:val="es-AR"/>
        </w:rPr>
        <w:t>Con base en la tarea realizada, cuyo alcance se describe en el capítulo 4 precedente, y en lo que es materia de nuestra competencia, manifestamos que no surgieron hallazgos que mencionar que afecten la Información objeto del encargo</w:t>
      </w:r>
      <w:r>
        <w:rPr>
          <w:rStyle w:val="FootnoteReference"/>
          <w:rFonts w:ascii="Garamond" w:hAnsi="Garamond" w:cs="Arial"/>
          <w:color w:val="000000"/>
          <w:sz w:val="24"/>
          <w:szCs w:val="24"/>
          <w:lang w:val="es-AR"/>
        </w:rPr>
        <w:footnoteReference w:id="9"/>
      </w:r>
      <w:r w:rsidRPr="006F54DA">
        <w:rPr>
          <w:rFonts w:ascii="Garamond" w:hAnsi="Garamond" w:cs="Arial"/>
          <w:color w:val="000000"/>
          <w:sz w:val="24"/>
          <w:szCs w:val="24"/>
          <w:lang w:val="es-AR"/>
        </w:rPr>
        <w:t>.</w:t>
      </w:r>
    </w:p>
    <w:p w:rsidR="00606D83" w:rsidRPr="006F54DA" w:rsidRDefault="00606D83" w:rsidP="005E3B04">
      <w:pPr>
        <w:jc w:val="both"/>
        <w:rPr>
          <w:rFonts w:ascii="Garamond" w:hAnsi="Garamond"/>
          <w:color w:val="000000"/>
          <w:sz w:val="24"/>
          <w:szCs w:val="24"/>
          <w:lang w:val="es-AR"/>
        </w:rPr>
      </w:pPr>
    </w:p>
    <w:p w:rsidR="00606D83" w:rsidRPr="006F54DA" w:rsidRDefault="00606D83" w:rsidP="00DE6C64">
      <w:pPr>
        <w:pStyle w:val="ListParagraph"/>
        <w:numPr>
          <w:ilvl w:val="0"/>
          <w:numId w:val="14"/>
        </w:numPr>
        <w:ind w:left="357" w:hanging="357"/>
        <w:jc w:val="both"/>
        <w:rPr>
          <w:rFonts w:ascii="Garamond" w:hAnsi="Garamond"/>
          <w:b/>
          <w:bCs/>
          <w:color w:val="010302"/>
          <w:sz w:val="24"/>
          <w:szCs w:val="24"/>
          <w:lang w:val="es-AR"/>
        </w:rPr>
      </w:pPr>
      <w:r w:rsidRPr="006F54DA">
        <w:rPr>
          <w:rFonts w:ascii="Garamond" w:hAnsi="Garamond" w:cs="Arial"/>
          <w:b/>
          <w:bCs/>
          <w:color w:val="000000"/>
          <w:sz w:val="24"/>
          <w:szCs w:val="24"/>
          <w:lang w:val="es-AR"/>
        </w:rPr>
        <w:t>Propósit</w:t>
      </w:r>
      <w:r w:rsidRPr="006F54DA">
        <w:rPr>
          <w:rFonts w:ascii="Garamond" w:hAnsi="Garamond" w:cs="Arial"/>
          <w:b/>
          <w:bCs/>
          <w:color w:val="000000"/>
          <w:spacing w:val="-3"/>
          <w:sz w:val="24"/>
          <w:szCs w:val="24"/>
          <w:lang w:val="es-AR"/>
        </w:rPr>
        <w:t>o</w:t>
      </w:r>
      <w:r w:rsidRPr="006F54DA">
        <w:rPr>
          <w:rFonts w:ascii="Garamond" w:hAnsi="Garamond" w:cs="Arial"/>
          <w:b/>
          <w:bCs/>
          <w:color w:val="000000"/>
          <w:sz w:val="24"/>
          <w:szCs w:val="24"/>
          <w:lang w:val="es-AR"/>
        </w:rPr>
        <w:t xml:space="preserve"> y usu</w:t>
      </w:r>
      <w:r w:rsidRPr="006F54DA">
        <w:rPr>
          <w:rFonts w:ascii="Garamond" w:hAnsi="Garamond" w:cs="Arial"/>
          <w:b/>
          <w:bCs/>
          <w:color w:val="000000"/>
          <w:spacing w:val="-3"/>
          <w:sz w:val="24"/>
          <w:szCs w:val="24"/>
          <w:lang w:val="es-AR"/>
        </w:rPr>
        <w:t>a</w:t>
      </w:r>
      <w:r w:rsidRPr="006F54DA">
        <w:rPr>
          <w:rFonts w:ascii="Garamond" w:hAnsi="Garamond" w:cs="Arial"/>
          <w:b/>
          <w:bCs/>
          <w:color w:val="000000"/>
          <w:sz w:val="24"/>
          <w:szCs w:val="24"/>
          <w:lang w:val="es-AR"/>
        </w:rPr>
        <w:t>rio</w:t>
      </w:r>
      <w:r w:rsidRPr="006F54DA">
        <w:rPr>
          <w:rFonts w:ascii="Garamond" w:hAnsi="Garamond" w:cs="Arial"/>
          <w:b/>
          <w:bCs/>
          <w:color w:val="000000"/>
          <w:spacing w:val="-4"/>
          <w:sz w:val="24"/>
          <w:szCs w:val="24"/>
          <w:lang w:val="es-AR"/>
        </w:rPr>
        <w:t>s</w:t>
      </w:r>
      <w:r w:rsidRPr="006F54DA">
        <w:rPr>
          <w:rFonts w:ascii="Garamond" w:hAnsi="Garamond" w:cs="Arial"/>
          <w:b/>
          <w:bCs/>
          <w:color w:val="000000"/>
          <w:sz w:val="24"/>
          <w:szCs w:val="24"/>
          <w:lang w:val="es-AR"/>
        </w:rPr>
        <w:t xml:space="preserve"> </w:t>
      </w:r>
      <w:r w:rsidRPr="006F54DA">
        <w:rPr>
          <w:rFonts w:ascii="Garamond" w:hAnsi="Garamond" w:cs="Arial"/>
          <w:b/>
          <w:bCs/>
          <w:color w:val="000000"/>
          <w:spacing w:val="-3"/>
          <w:sz w:val="24"/>
          <w:szCs w:val="24"/>
          <w:lang w:val="es-AR"/>
        </w:rPr>
        <w:t>d</w:t>
      </w:r>
      <w:r w:rsidRPr="006F54DA">
        <w:rPr>
          <w:rFonts w:ascii="Garamond" w:hAnsi="Garamond" w:cs="Arial"/>
          <w:b/>
          <w:bCs/>
          <w:color w:val="000000"/>
          <w:sz w:val="24"/>
          <w:szCs w:val="24"/>
          <w:lang w:val="es-AR"/>
        </w:rPr>
        <w:t>e est</w:t>
      </w:r>
      <w:r w:rsidRPr="006F54DA">
        <w:rPr>
          <w:rFonts w:ascii="Garamond" w:hAnsi="Garamond" w:cs="Arial"/>
          <w:b/>
          <w:bCs/>
          <w:color w:val="000000"/>
          <w:spacing w:val="-3"/>
          <w:sz w:val="24"/>
          <w:szCs w:val="24"/>
          <w:lang w:val="es-AR"/>
        </w:rPr>
        <w:t>e</w:t>
      </w:r>
      <w:r w:rsidRPr="006F54DA">
        <w:rPr>
          <w:rFonts w:ascii="Garamond" w:hAnsi="Garamond" w:cs="Arial"/>
          <w:b/>
          <w:bCs/>
          <w:color w:val="000000"/>
          <w:sz w:val="24"/>
          <w:szCs w:val="24"/>
          <w:lang w:val="es-AR"/>
        </w:rPr>
        <w:t xml:space="preserve"> </w:t>
      </w:r>
      <w:r>
        <w:rPr>
          <w:rFonts w:ascii="Garamond" w:hAnsi="Garamond" w:cs="Arial"/>
          <w:b/>
          <w:bCs/>
          <w:color w:val="000000"/>
          <w:sz w:val="24"/>
          <w:szCs w:val="24"/>
          <w:lang w:val="es-AR"/>
        </w:rPr>
        <w:t>I</w:t>
      </w:r>
      <w:r w:rsidRPr="006F54DA">
        <w:rPr>
          <w:rFonts w:ascii="Garamond" w:hAnsi="Garamond" w:cs="Arial"/>
          <w:b/>
          <w:bCs/>
          <w:color w:val="000000"/>
          <w:spacing w:val="-3"/>
          <w:sz w:val="24"/>
          <w:szCs w:val="24"/>
          <w:lang w:val="es-AR"/>
        </w:rPr>
        <w:t>n</w:t>
      </w:r>
      <w:r w:rsidRPr="006F54DA">
        <w:rPr>
          <w:rFonts w:ascii="Garamond" w:hAnsi="Garamond" w:cs="Arial"/>
          <w:b/>
          <w:bCs/>
          <w:color w:val="000000"/>
          <w:sz w:val="24"/>
          <w:szCs w:val="24"/>
          <w:lang w:val="es-AR"/>
        </w:rPr>
        <w:t>form</w:t>
      </w:r>
      <w:r w:rsidRPr="006F54DA">
        <w:rPr>
          <w:rFonts w:ascii="Garamond" w:hAnsi="Garamond" w:cs="Arial"/>
          <w:b/>
          <w:bCs/>
          <w:color w:val="000000"/>
          <w:spacing w:val="-3"/>
          <w:sz w:val="24"/>
          <w:szCs w:val="24"/>
          <w:lang w:val="es-AR"/>
        </w:rPr>
        <w:t>e</w:t>
      </w:r>
      <w:r w:rsidRPr="006F54DA">
        <w:rPr>
          <w:rFonts w:ascii="Garamond" w:hAnsi="Garamond" w:cs="Arial"/>
          <w:b/>
          <w:bCs/>
          <w:color w:val="000000"/>
          <w:sz w:val="24"/>
          <w:szCs w:val="24"/>
          <w:lang w:val="es-AR"/>
        </w:rPr>
        <w:t xml:space="preserve"> </w:t>
      </w:r>
      <w:r>
        <w:rPr>
          <w:rFonts w:ascii="Garamond" w:hAnsi="Garamond" w:cs="Arial"/>
          <w:b/>
          <w:bCs/>
          <w:color w:val="000000"/>
          <w:sz w:val="24"/>
          <w:szCs w:val="24"/>
          <w:lang w:val="es-AR"/>
        </w:rPr>
        <w:t>E</w:t>
      </w:r>
      <w:r w:rsidRPr="006F54DA">
        <w:rPr>
          <w:rFonts w:ascii="Garamond" w:hAnsi="Garamond" w:cs="Arial"/>
          <w:b/>
          <w:bCs/>
          <w:color w:val="000000"/>
          <w:sz w:val="24"/>
          <w:szCs w:val="24"/>
          <w:lang w:val="es-AR"/>
        </w:rPr>
        <w:t>spe</w:t>
      </w:r>
      <w:r w:rsidRPr="006F54DA">
        <w:rPr>
          <w:rFonts w:ascii="Garamond" w:hAnsi="Garamond" w:cs="Arial"/>
          <w:b/>
          <w:bCs/>
          <w:color w:val="000000"/>
          <w:spacing w:val="-3"/>
          <w:sz w:val="24"/>
          <w:szCs w:val="24"/>
          <w:lang w:val="es-AR"/>
        </w:rPr>
        <w:t>c</w:t>
      </w:r>
      <w:r w:rsidRPr="006F54DA">
        <w:rPr>
          <w:rFonts w:ascii="Garamond" w:hAnsi="Garamond" w:cs="Arial"/>
          <w:b/>
          <w:bCs/>
          <w:color w:val="000000"/>
          <w:sz w:val="24"/>
          <w:szCs w:val="24"/>
          <w:lang w:val="es-AR"/>
        </w:rPr>
        <w:t>ial</w:t>
      </w:r>
    </w:p>
    <w:p w:rsidR="00606D83" w:rsidRPr="006F54DA" w:rsidRDefault="00606D83" w:rsidP="005E3B04">
      <w:pPr>
        <w:jc w:val="both"/>
        <w:rPr>
          <w:rFonts w:ascii="Garamond" w:hAnsi="Garamond"/>
          <w:color w:val="010302"/>
          <w:sz w:val="24"/>
          <w:szCs w:val="24"/>
          <w:lang w:val="es-AR"/>
        </w:rPr>
      </w:pPr>
    </w:p>
    <w:p w:rsidR="00606D83" w:rsidRPr="006F54DA" w:rsidRDefault="00606D83" w:rsidP="005E3B04">
      <w:pPr>
        <w:spacing w:line="246" w:lineRule="exact"/>
        <w:ind w:left="357"/>
        <w:jc w:val="both"/>
        <w:rPr>
          <w:rFonts w:ascii="Garamond" w:hAnsi="Garamond"/>
          <w:color w:val="010302"/>
          <w:sz w:val="24"/>
          <w:szCs w:val="24"/>
          <w:lang w:val="es-AR"/>
        </w:rPr>
      </w:pPr>
      <w:r w:rsidRPr="006F54DA">
        <w:rPr>
          <w:rFonts w:ascii="Garamond" w:hAnsi="Garamond"/>
          <w:color w:val="010302"/>
          <w:sz w:val="24"/>
          <w:szCs w:val="24"/>
          <w:lang w:val="es-AR"/>
        </w:rPr>
        <w:t xml:space="preserve">Este </w:t>
      </w:r>
      <w:r>
        <w:rPr>
          <w:rFonts w:ascii="Garamond" w:hAnsi="Garamond"/>
          <w:color w:val="010302"/>
          <w:sz w:val="24"/>
          <w:szCs w:val="24"/>
          <w:lang w:val="es-AR"/>
        </w:rPr>
        <w:t>I</w:t>
      </w:r>
      <w:r w:rsidRPr="006F54DA">
        <w:rPr>
          <w:rFonts w:ascii="Garamond" w:hAnsi="Garamond"/>
          <w:color w:val="010302"/>
          <w:sz w:val="24"/>
          <w:szCs w:val="24"/>
          <w:lang w:val="es-AR"/>
        </w:rPr>
        <w:t xml:space="preserve">nforme </w:t>
      </w:r>
      <w:r>
        <w:rPr>
          <w:rFonts w:ascii="Garamond" w:hAnsi="Garamond"/>
          <w:color w:val="010302"/>
          <w:sz w:val="24"/>
          <w:szCs w:val="24"/>
          <w:lang w:val="es-AR"/>
        </w:rPr>
        <w:t>E</w:t>
      </w:r>
      <w:r w:rsidRPr="006F54DA">
        <w:rPr>
          <w:rFonts w:ascii="Garamond" w:hAnsi="Garamond"/>
          <w:color w:val="010302"/>
          <w:sz w:val="24"/>
          <w:szCs w:val="24"/>
          <w:lang w:val="es-AR"/>
        </w:rPr>
        <w:t>special ha sido preparado exclusivamente para uso del Directorio</w:t>
      </w:r>
      <w:r>
        <w:rPr>
          <w:rStyle w:val="FootnoteReference"/>
          <w:rFonts w:ascii="Garamond" w:hAnsi="Garamond"/>
          <w:color w:val="010302"/>
          <w:sz w:val="24"/>
          <w:szCs w:val="24"/>
          <w:lang w:val="es-AR"/>
        </w:rPr>
        <w:footnoteReference w:id="10"/>
      </w:r>
      <w:r w:rsidRPr="006F54DA">
        <w:rPr>
          <w:rFonts w:ascii="Garamond" w:hAnsi="Garamond"/>
          <w:color w:val="010302"/>
          <w:sz w:val="24"/>
          <w:szCs w:val="24"/>
          <w:lang w:val="es-AR"/>
        </w:rPr>
        <w:t xml:space="preserve"> de la Sociedad y para su puesta a disposición de los… [</w:t>
      </w:r>
      <w:r w:rsidRPr="00A31A62">
        <w:rPr>
          <w:rFonts w:ascii="Garamond" w:hAnsi="Garamond"/>
          <w:i/>
          <w:iCs/>
          <w:color w:val="010302"/>
          <w:sz w:val="24"/>
          <w:szCs w:val="24"/>
          <w:lang w:val="es-AR"/>
        </w:rPr>
        <w:t>indicar accionistas/socios</w:t>
      </w:r>
      <w:r w:rsidRPr="006F54DA">
        <w:rPr>
          <w:rFonts w:ascii="Garamond" w:hAnsi="Garamond"/>
          <w:color w:val="010302"/>
          <w:sz w:val="24"/>
          <w:szCs w:val="24"/>
          <w:lang w:val="es-AR"/>
        </w:rPr>
        <w:t>] que así lo requieran, debido a dar cumplimiento a las disposiciones reglamentarias referidas en forma precedente y, por lo tanto, no debe ser utilizado, hacerse referencia a él o ser distribuido con ningún otro propósito.</w:t>
      </w:r>
    </w:p>
    <w:p w:rsidR="00606D83" w:rsidRDefault="00606D83" w:rsidP="00D233E4">
      <w:pPr>
        <w:jc w:val="both"/>
        <w:rPr>
          <w:rFonts w:ascii="Garamond" w:hAnsi="Garamond"/>
          <w:color w:val="000000"/>
          <w:sz w:val="24"/>
          <w:szCs w:val="24"/>
          <w:lang w:val="es-AR"/>
        </w:rPr>
      </w:pPr>
    </w:p>
    <w:p w:rsidR="00606D83" w:rsidRPr="00A117BE" w:rsidRDefault="00606D83" w:rsidP="00A117BE">
      <w:pPr>
        <w:pStyle w:val="ListParagraph"/>
        <w:numPr>
          <w:ilvl w:val="0"/>
          <w:numId w:val="14"/>
        </w:numPr>
        <w:ind w:left="357" w:hanging="357"/>
        <w:jc w:val="both"/>
        <w:rPr>
          <w:rFonts w:ascii="Garamond" w:hAnsi="Garamond"/>
          <w:b/>
          <w:bCs/>
          <w:color w:val="000000"/>
          <w:sz w:val="24"/>
          <w:szCs w:val="24"/>
          <w:lang w:val="es-AR"/>
        </w:rPr>
      </w:pPr>
      <w:r w:rsidRPr="00A117BE">
        <w:rPr>
          <w:rFonts w:ascii="Garamond" w:hAnsi="Garamond"/>
          <w:b/>
          <w:bCs/>
          <w:color w:val="000000"/>
          <w:sz w:val="24"/>
          <w:szCs w:val="24"/>
          <w:lang w:val="es-AR"/>
        </w:rPr>
        <w:t>Informe sobre otros requerimientos legales y reglamentarios</w:t>
      </w:r>
    </w:p>
    <w:p w:rsidR="00606D83" w:rsidRDefault="00606D83" w:rsidP="00D233E4">
      <w:pPr>
        <w:jc w:val="both"/>
        <w:rPr>
          <w:rFonts w:ascii="Garamond" w:hAnsi="Garamond"/>
          <w:color w:val="000000"/>
          <w:sz w:val="24"/>
          <w:szCs w:val="24"/>
          <w:lang w:val="es-AR"/>
        </w:rPr>
      </w:pPr>
    </w:p>
    <w:p w:rsidR="00606D83" w:rsidRPr="00A117BE" w:rsidRDefault="00606D83" w:rsidP="00A117BE">
      <w:pPr>
        <w:pStyle w:val="ListParagraph"/>
        <w:numPr>
          <w:ilvl w:val="0"/>
          <w:numId w:val="16"/>
        </w:numPr>
        <w:jc w:val="both"/>
        <w:rPr>
          <w:rFonts w:ascii="Garamond" w:hAnsi="Garamond"/>
          <w:color w:val="000000"/>
          <w:sz w:val="24"/>
          <w:szCs w:val="24"/>
          <w:lang w:val="es-AR"/>
        </w:rPr>
      </w:pPr>
      <w:r w:rsidRPr="00A117BE">
        <w:rPr>
          <w:rFonts w:ascii="Garamond" w:hAnsi="Garamond"/>
          <w:color w:val="000000"/>
          <w:sz w:val="24"/>
          <w:szCs w:val="24"/>
          <w:lang w:val="es-AR"/>
        </w:rPr>
        <w:t>Con base en mi examen descripto, informo que los estados contables citados surgen de registros contables llevados en sus aspectos formales de acuerdo con normas legales. (</w:t>
      </w:r>
      <w:r w:rsidRPr="00A117BE">
        <w:rPr>
          <w:rFonts w:ascii="Garamond" w:hAnsi="Garamond"/>
          <w:i/>
          <w:iCs/>
          <w:color w:val="000000"/>
          <w:sz w:val="24"/>
          <w:szCs w:val="24"/>
          <w:lang w:val="es-AR"/>
        </w:rPr>
        <w:t>de corresponder</w:t>
      </w:r>
      <w:r w:rsidRPr="00A117BE">
        <w:rPr>
          <w:rFonts w:ascii="Garamond" w:hAnsi="Garamond"/>
          <w:color w:val="000000"/>
          <w:sz w:val="24"/>
          <w:szCs w:val="24"/>
          <w:lang w:val="es-AR"/>
        </w:rPr>
        <w:t xml:space="preserve">) </w:t>
      </w:r>
    </w:p>
    <w:p w:rsidR="00606D83" w:rsidRPr="00A117BE" w:rsidRDefault="00606D83" w:rsidP="00A117BE">
      <w:pPr>
        <w:ind w:left="357" w:hanging="357"/>
        <w:jc w:val="both"/>
        <w:rPr>
          <w:rFonts w:ascii="Garamond" w:hAnsi="Garamond"/>
          <w:color w:val="000000"/>
          <w:sz w:val="24"/>
          <w:szCs w:val="24"/>
          <w:lang w:val="es-AR"/>
        </w:rPr>
      </w:pPr>
    </w:p>
    <w:p w:rsidR="00606D83" w:rsidRDefault="00606D83" w:rsidP="00A117BE">
      <w:pPr>
        <w:ind w:left="720" w:hanging="357"/>
        <w:jc w:val="both"/>
        <w:rPr>
          <w:rFonts w:ascii="Garamond" w:hAnsi="Garamond"/>
          <w:color w:val="000000"/>
          <w:sz w:val="24"/>
          <w:szCs w:val="24"/>
          <w:lang w:val="es-AR"/>
        </w:rPr>
      </w:pPr>
      <w:r w:rsidRPr="00A117BE">
        <w:rPr>
          <w:rFonts w:ascii="Garamond" w:hAnsi="Garamond"/>
          <w:color w:val="000000"/>
          <w:sz w:val="24"/>
          <w:szCs w:val="24"/>
          <w:lang w:val="es-AR"/>
        </w:rPr>
        <w:t>b)</w:t>
      </w:r>
      <w:r w:rsidRPr="00A117BE">
        <w:rPr>
          <w:rFonts w:ascii="Garamond" w:hAnsi="Garamond"/>
          <w:color w:val="000000"/>
          <w:sz w:val="24"/>
          <w:szCs w:val="24"/>
          <w:lang w:val="es-AR"/>
        </w:rPr>
        <w:tab/>
        <w:t>Según surge de los registros contables de la entidad, el pasivo devengado al 1</w:t>
      </w:r>
      <w:r>
        <w:rPr>
          <w:rFonts w:ascii="Garamond" w:hAnsi="Garamond"/>
          <w:color w:val="000000"/>
          <w:sz w:val="24"/>
          <w:szCs w:val="24"/>
          <w:lang w:val="es-AR"/>
        </w:rPr>
        <w:t>8</w:t>
      </w:r>
      <w:r w:rsidRPr="00A117BE">
        <w:rPr>
          <w:rFonts w:ascii="Garamond" w:hAnsi="Garamond"/>
          <w:color w:val="000000"/>
          <w:sz w:val="24"/>
          <w:szCs w:val="24"/>
          <w:lang w:val="es-AR"/>
        </w:rPr>
        <w:t>/12/20</w:t>
      </w:r>
      <w:r>
        <w:rPr>
          <w:rFonts w:ascii="Garamond" w:hAnsi="Garamond"/>
          <w:color w:val="000000"/>
          <w:sz w:val="24"/>
          <w:szCs w:val="24"/>
          <w:lang w:val="es-AR"/>
        </w:rPr>
        <w:t>20</w:t>
      </w:r>
      <w:r w:rsidRPr="00A117BE">
        <w:rPr>
          <w:rFonts w:ascii="Garamond" w:hAnsi="Garamond"/>
          <w:color w:val="000000"/>
          <w:sz w:val="24"/>
          <w:szCs w:val="24"/>
          <w:lang w:val="es-AR"/>
        </w:rPr>
        <w:t xml:space="preserve"> a favor del Sistema Integrado Previsional Argentino (SIPA) en concepto de aportes y contribuciones previsionales ascendía a $... y no era exigible a esa fecha (</w:t>
      </w:r>
      <w:r w:rsidRPr="00A117BE">
        <w:rPr>
          <w:rFonts w:ascii="Garamond" w:hAnsi="Garamond"/>
          <w:i/>
          <w:iCs/>
          <w:color w:val="000000"/>
          <w:sz w:val="24"/>
          <w:szCs w:val="24"/>
          <w:lang w:val="es-AR"/>
        </w:rPr>
        <w:t>o “y $... era exigible y $... no era exigible a esa fecha”</w:t>
      </w:r>
      <w:r w:rsidRPr="00A117BE">
        <w:rPr>
          <w:rFonts w:ascii="Garamond" w:hAnsi="Garamond"/>
          <w:color w:val="000000"/>
          <w:sz w:val="24"/>
          <w:szCs w:val="24"/>
          <w:lang w:val="es-AR"/>
        </w:rPr>
        <w:t>).</w:t>
      </w:r>
      <w:r>
        <w:rPr>
          <w:rStyle w:val="FootnoteReference"/>
          <w:rFonts w:ascii="Garamond" w:hAnsi="Garamond"/>
          <w:color w:val="000000"/>
          <w:sz w:val="24"/>
          <w:szCs w:val="24"/>
          <w:lang w:val="es-AR"/>
        </w:rPr>
        <w:footnoteReference w:id="11"/>
      </w:r>
    </w:p>
    <w:p w:rsidR="00606D83" w:rsidRDefault="00606D83" w:rsidP="00D233E4">
      <w:pPr>
        <w:jc w:val="both"/>
        <w:rPr>
          <w:rFonts w:ascii="Garamond" w:hAnsi="Garamond"/>
          <w:color w:val="000000"/>
          <w:sz w:val="24"/>
          <w:szCs w:val="24"/>
          <w:lang w:val="es-AR"/>
        </w:rPr>
      </w:pPr>
    </w:p>
    <w:p w:rsidR="00606D83" w:rsidRPr="006F54DA" w:rsidRDefault="00606D83" w:rsidP="00D233E4">
      <w:pPr>
        <w:jc w:val="both"/>
        <w:rPr>
          <w:rFonts w:ascii="Garamond" w:hAnsi="Garamond"/>
          <w:color w:val="000000"/>
          <w:sz w:val="24"/>
          <w:szCs w:val="24"/>
          <w:lang w:val="es-AR"/>
        </w:rPr>
      </w:pPr>
    </w:p>
    <w:p w:rsidR="00606D83" w:rsidRPr="006F54DA" w:rsidRDefault="00606D83" w:rsidP="005E3B04">
      <w:pPr>
        <w:spacing w:line="246" w:lineRule="exact"/>
        <w:jc w:val="both"/>
        <w:rPr>
          <w:rFonts w:ascii="Garamond" w:hAnsi="Garamond"/>
          <w:color w:val="010302"/>
          <w:sz w:val="24"/>
          <w:szCs w:val="24"/>
          <w:lang w:val="es-AR"/>
        </w:rPr>
      </w:pPr>
      <w:r w:rsidRPr="006F54DA">
        <w:rPr>
          <w:rFonts w:ascii="Garamond" w:hAnsi="Garamond"/>
          <w:color w:val="010302"/>
          <w:sz w:val="24"/>
          <w:szCs w:val="24"/>
          <w:lang w:val="es-AR"/>
        </w:rPr>
        <w:t xml:space="preserve">Ciudad </w:t>
      </w:r>
      <w:r>
        <w:rPr>
          <w:rFonts w:ascii="Garamond" w:hAnsi="Garamond"/>
          <w:color w:val="010302"/>
          <w:sz w:val="24"/>
          <w:szCs w:val="24"/>
          <w:lang w:val="es-AR"/>
        </w:rPr>
        <w:t>Autónoma de Buenos Aires,</w:t>
      </w:r>
      <w:r w:rsidRPr="006F54DA">
        <w:rPr>
          <w:rFonts w:ascii="Garamond" w:hAnsi="Garamond"/>
          <w:color w:val="010302"/>
          <w:sz w:val="24"/>
          <w:szCs w:val="24"/>
          <w:lang w:val="es-AR"/>
        </w:rPr>
        <w:t xml:space="preserve"> </w:t>
      </w:r>
      <w:r>
        <w:rPr>
          <w:rFonts w:ascii="Garamond" w:hAnsi="Garamond"/>
          <w:color w:val="010302"/>
          <w:sz w:val="24"/>
          <w:szCs w:val="24"/>
          <w:lang w:val="es-AR"/>
        </w:rPr>
        <w:t>dd/mm/aaaa</w:t>
      </w:r>
      <w:r w:rsidRPr="006F54DA">
        <w:rPr>
          <w:rFonts w:ascii="Garamond" w:hAnsi="Garamond"/>
          <w:color w:val="010302"/>
          <w:sz w:val="24"/>
          <w:szCs w:val="24"/>
          <w:lang w:val="es-AR"/>
        </w:rPr>
        <w:t xml:space="preserve"> </w:t>
      </w:r>
      <w:r>
        <w:rPr>
          <w:rFonts w:ascii="Garamond" w:hAnsi="Garamond"/>
          <w:color w:val="010302"/>
          <w:sz w:val="24"/>
          <w:szCs w:val="24"/>
          <w:lang w:val="es-AR"/>
        </w:rPr>
        <w:t>[</w:t>
      </w:r>
      <w:r w:rsidRPr="00A31A62">
        <w:rPr>
          <w:rFonts w:ascii="Garamond" w:hAnsi="Garamond"/>
          <w:i/>
          <w:iCs/>
          <w:color w:val="010302"/>
          <w:sz w:val="24"/>
          <w:szCs w:val="24"/>
          <w:lang w:val="es-AR"/>
        </w:rPr>
        <w:t>fecha de aprobación del balance especial por parte del Directorio</w:t>
      </w:r>
      <w:r>
        <w:rPr>
          <w:rStyle w:val="FootnoteReference"/>
          <w:rFonts w:ascii="Garamond" w:hAnsi="Garamond"/>
          <w:i/>
          <w:iCs/>
          <w:color w:val="010302"/>
          <w:sz w:val="24"/>
          <w:szCs w:val="24"/>
          <w:lang w:val="es-AR"/>
        </w:rPr>
        <w:footnoteReference w:id="12"/>
      </w:r>
      <w:r w:rsidRPr="006F54DA">
        <w:rPr>
          <w:rFonts w:ascii="Garamond" w:hAnsi="Garamond"/>
          <w:color w:val="010302"/>
          <w:sz w:val="24"/>
          <w:szCs w:val="24"/>
          <w:lang w:val="es-AR"/>
        </w:rPr>
        <w:t>]</w:t>
      </w:r>
    </w:p>
    <w:p w:rsidR="00606D83" w:rsidRPr="006F54DA" w:rsidRDefault="00606D83" w:rsidP="005E3B04">
      <w:pPr>
        <w:spacing w:line="246" w:lineRule="exact"/>
        <w:jc w:val="both"/>
        <w:rPr>
          <w:rFonts w:ascii="Garamond" w:hAnsi="Garamond"/>
          <w:color w:val="010302"/>
          <w:sz w:val="24"/>
          <w:szCs w:val="24"/>
          <w:lang w:val="es-AR"/>
        </w:rPr>
      </w:pPr>
    </w:p>
    <w:p w:rsidR="00606D83" w:rsidRDefault="00606D83" w:rsidP="005E3B04">
      <w:pPr>
        <w:spacing w:line="246" w:lineRule="exact"/>
        <w:jc w:val="both"/>
        <w:rPr>
          <w:rFonts w:ascii="Garamond" w:hAnsi="Garamond"/>
          <w:color w:val="010302"/>
          <w:sz w:val="24"/>
          <w:szCs w:val="24"/>
          <w:lang w:val="es-AR"/>
        </w:rPr>
      </w:pPr>
    </w:p>
    <w:p w:rsidR="00606D83" w:rsidRDefault="00606D83" w:rsidP="005E3B04">
      <w:pPr>
        <w:spacing w:line="246" w:lineRule="exact"/>
        <w:jc w:val="both"/>
        <w:rPr>
          <w:rFonts w:ascii="Garamond" w:hAnsi="Garamond"/>
          <w:color w:val="010302"/>
          <w:sz w:val="24"/>
          <w:szCs w:val="24"/>
          <w:lang w:val="es-AR"/>
        </w:rPr>
      </w:pPr>
    </w:p>
    <w:p w:rsidR="00606D83" w:rsidRDefault="00606D83" w:rsidP="005E3B04">
      <w:pPr>
        <w:spacing w:line="246" w:lineRule="exact"/>
        <w:jc w:val="both"/>
        <w:rPr>
          <w:rFonts w:ascii="Garamond" w:hAnsi="Garamond"/>
          <w:color w:val="010302"/>
          <w:sz w:val="24"/>
          <w:szCs w:val="24"/>
          <w:lang w:val="es-AR"/>
        </w:rPr>
      </w:pPr>
    </w:p>
    <w:p w:rsidR="00606D83" w:rsidRPr="006F54DA" w:rsidRDefault="00606D83" w:rsidP="005E3B04">
      <w:pPr>
        <w:spacing w:line="246" w:lineRule="exact"/>
        <w:jc w:val="both"/>
        <w:rPr>
          <w:rFonts w:ascii="Garamond" w:hAnsi="Garamond"/>
          <w:color w:val="010302"/>
          <w:sz w:val="24"/>
          <w:szCs w:val="24"/>
          <w:lang w:val="es-AR"/>
        </w:rPr>
      </w:pPr>
    </w:p>
    <w:tbl>
      <w:tblPr>
        <w:tblW w:w="0" w:type="auto"/>
        <w:tblLook w:val="01E0"/>
      </w:tblPr>
      <w:tblGrid>
        <w:gridCol w:w="3164"/>
        <w:gridCol w:w="2884"/>
        <w:gridCol w:w="3446"/>
      </w:tblGrid>
      <w:tr w:rsidR="00606D83" w:rsidRPr="003A092E" w:rsidTr="003A092E">
        <w:tc>
          <w:tcPr>
            <w:tcW w:w="3164" w:type="dxa"/>
          </w:tcPr>
          <w:p w:rsidR="00606D83" w:rsidRPr="003A092E" w:rsidRDefault="00606D83" w:rsidP="003A092E">
            <w:pPr>
              <w:widowControl/>
              <w:autoSpaceDE w:val="0"/>
              <w:autoSpaceDN w:val="0"/>
              <w:adjustRightInd w:val="0"/>
              <w:spacing w:line="249" w:lineRule="atLeast"/>
              <w:jc w:val="both"/>
              <w:rPr>
                <w:rFonts w:ascii="Garamond" w:hAnsi="Garamond"/>
                <w:sz w:val="20"/>
                <w:szCs w:val="20"/>
                <w:lang w:val="es-AR" w:eastAsia="es-ES"/>
              </w:rPr>
            </w:pPr>
          </w:p>
        </w:tc>
        <w:tc>
          <w:tcPr>
            <w:tcW w:w="2884" w:type="dxa"/>
          </w:tcPr>
          <w:p w:rsidR="00606D83" w:rsidRPr="003A092E" w:rsidRDefault="00606D83" w:rsidP="003A092E">
            <w:pPr>
              <w:widowControl/>
              <w:autoSpaceDE w:val="0"/>
              <w:autoSpaceDN w:val="0"/>
              <w:adjustRightInd w:val="0"/>
              <w:spacing w:line="249" w:lineRule="atLeast"/>
              <w:jc w:val="both"/>
              <w:rPr>
                <w:rFonts w:ascii="Garamond" w:hAnsi="Garamond"/>
                <w:sz w:val="20"/>
                <w:szCs w:val="20"/>
                <w:lang w:val="es-AR" w:eastAsia="es-ES"/>
              </w:rPr>
            </w:pPr>
          </w:p>
        </w:tc>
        <w:tc>
          <w:tcPr>
            <w:tcW w:w="3446" w:type="dxa"/>
          </w:tcPr>
          <w:p w:rsidR="00606D83" w:rsidRPr="003A092E" w:rsidRDefault="00606D83" w:rsidP="003A092E">
            <w:pPr>
              <w:widowControl/>
              <w:autoSpaceDE w:val="0"/>
              <w:autoSpaceDN w:val="0"/>
              <w:adjustRightInd w:val="0"/>
              <w:spacing w:line="249" w:lineRule="atLeast"/>
              <w:jc w:val="center"/>
              <w:rPr>
                <w:rFonts w:ascii="Garamond" w:hAnsi="Garamond"/>
                <w:sz w:val="24"/>
                <w:szCs w:val="24"/>
                <w:lang w:val="es-AR" w:eastAsia="es-ES"/>
              </w:rPr>
            </w:pPr>
            <w:r w:rsidRPr="003A092E">
              <w:rPr>
                <w:rFonts w:ascii="Garamond" w:hAnsi="Garamond"/>
                <w:sz w:val="24"/>
                <w:szCs w:val="24"/>
                <w:lang w:val="es-AR" w:eastAsia="es-ES"/>
              </w:rPr>
              <w:t>Dr. WXYZ</w:t>
            </w:r>
          </w:p>
          <w:p w:rsidR="00606D83" w:rsidRPr="003A092E" w:rsidRDefault="00606D83" w:rsidP="003A092E">
            <w:pPr>
              <w:widowControl/>
              <w:autoSpaceDE w:val="0"/>
              <w:autoSpaceDN w:val="0"/>
              <w:adjustRightInd w:val="0"/>
              <w:spacing w:line="249" w:lineRule="atLeast"/>
              <w:jc w:val="center"/>
              <w:rPr>
                <w:rFonts w:ascii="Garamond" w:hAnsi="Garamond"/>
                <w:sz w:val="24"/>
                <w:szCs w:val="24"/>
                <w:lang w:val="es-AR" w:eastAsia="es-ES"/>
              </w:rPr>
            </w:pPr>
            <w:r w:rsidRPr="003A092E">
              <w:rPr>
                <w:rFonts w:ascii="Garamond" w:hAnsi="Garamond"/>
                <w:sz w:val="24"/>
                <w:szCs w:val="24"/>
                <w:lang w:val="es-AR" w:eastAsia="es-ES"/>
              </w:rPr>
              <w:t>Contador Público (Universidad)</w:t>
            </w:r>
          </w:p>
          <w:p w:rsidR="00606D83" w:rsidRPr="003A092E" w:rsidRDefault="00606D83" w:rsidP="003A092E">
            <w:pPr>
              <w:widowControl/>
              <w:autoSpaceDE w:val="0"/>
              <w:autoSpaceDN w:val="0"/>
              <w:adjustRightInd w:val="0"/>
              <w:spacing w:line="249" w:lineRule="atLeast"/>
              <w:jc w:val="center"/>
              <w:rPr>
                <w:rFonts w:ascii="Garamond" w:hAnsi="Garamond"/>
                <w:sz w:val="20"/>
                <w:szCs w:val="20"/>
                <w:lang w:val="es-AR" w:eastAsia="es-ES"/>
              </w:rPr>
            </w:pPr>
            <w:r w:rsidRPr="003A092E">
              <w:rPr>
                <w:rFonts w:ascii="Garamond" w:hAnsi="Garamond"/>
                <w:sz w:val="24"/>
                <w:szCs w:val="24"/>
                <w:lang w:val="es-AR" w:eastAsia="es-ES"/>
              </w:rPr>
              <w:t>C.P.C.E.C.A.B.A. T°… F°…</w:t>
            </w:r>
          </w:p>
        </w:tc>
      </w:tr>
    </w:tbl>
    <w:p w:rsidR="00606D83" w:rsidRPr="006F54DA" w:rsidRDefault="00606D83" w:rsidP="00D233E4">
      <w:pPr>
        <w:jc w:val="both"/>
        <w:rPr>
          <w:rFonts w:ascii="Garamond" w:hAnsi="Garamond"/>
          <w:sz w:val="24"/>
          <w:szCs w:val="24"/>
          <w:lang w:val="es-AR"/>
        </w:rPr>
      </w:pPr>
    </w:p>
    <w:sectPr w:rsidR="00606D83" w:rsidRPr="006F54DA" w:rsidSect="006F54DA">
      <w:type w:val="continuous"/>
      <w:pgSz w:w="11907" w:h="16840" w:code="9"/>
      <w:pgMar w:top="1418" w:right="851" w:bottom="1418" w:left="1701" w:header="113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D83" w:rsidRDefault="00606D83" w:rsidP="00B66FEB">
      <w:r>
        <w:separator/>
      </w:r>
    </w:p>
  </w:endnote>
  <w:endnote w:type="continuationSeparator" w:id="0">
    <w:p w:rsidR="00606D83" w:rsidRDefault="00606D83" w:rsidP="00B66F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BBvoice CNSG">
    <w:panose1 w:val="00000000000000000000"/>
    <w:charset w:val="86"/>
    <w:family w:val="swiss"/>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D83" w:rsidRDefault="00606D83" w:rsidP="00B66FEB">
      <w:r>
        <w:separator/>
      </w:r>
    </w:p>
  </w:footnote>
  <w:footnote w:type="continuationSeparator" w:id="0">
    <w:p w:rsidR="00606D83" w:rsidRDefault="00606D83" w:rsidP="00B66FEB">
      <w:r>
        <w:continuationSeparator/>
      </w:r>
    </w:p>
  </w:footnote>
  <w:footnote w:id="1">
    <w:p w:rsidR="00606D83" w:rsidRDefault="00606D83" w:rsidP="000E569E">
      <w:pPr>
        <w:pStyle w:val="FootnoteText"/>
        <w:jc w:val="both"/>
      </w:pPr>
      <w:r w:rsidRPr="000E569E">
        <w:rPr>
          <w:rStyle w:val="FootnoteReference"/>
          <w:rFonts w:ascii="Garamond" w:hAnsi="Garamond"/>
        </w:rPr>
        <w:footnoteRef/>
      </w:r>
      <w:r w:rsidRPr="000E569E">
        <w:rPr>
          <w:rFonts w:ascii="Garamond" w:hAnsi="Garamond"/>
          <w:lang w:val="es-AR"/>
        </w:rPr>
        <w:t xml:space="preserve"> Modelo incluido como Anexo I en “</w:t>
      </w:r>
      <w:r w:rsidRPr="000E569E">
        <w:rPr>
          <w:rFonts w:ascii="Garamond" w:hAnsi="Garamond"/>
          <w:b/>
          <w:bCs/>
          <w:lang w:val="es-AR"/>
        </w:rPr>
        <w:t>ASyE</w:t>
      </w:r>
      <w:r w:rsidRPr="000E569E">
        <w:rPr>
          <w:rFonts w:ascii="Garamond" w:hAnsi="Garamond"/>
          <w:lang w:val="es-AR"/>
        </w:rPr>
        <w:t xml:space="preserve"> (Aporte Solidario y Extraordinario) – </w:t>
      </w:r>
      <w:r w:rsidRPr="000E569E">
        <w:rPr>
          <w:rFonts w:ascii="Garamond" w:hAnsi="Garamond"/>
          <w:b/>
          <w:bCs/>
          <w:lang w:val="es-AR"/>
        </w:rPr>
        <w:t>Guía sobre encargo profesional sobre Balance Especial</w:t>
      </w:r>
      <w:r w:rsidRPr="000E569E">
        <w:rPr>
          <w:rFonts w:ascii="Garamond" w:hAnsi="Garamond"/>
          <w:lang w:val="es-AR"/>
        </w:rPr>
        <w:t>”, aprobada por la Mesa Directiva de la Federación Argentina de Consejos Profesionales de Ciencias Económicas (FACPCE)</w:t>
      </w:r>
    </w:p>
  </w:footnote>
  <w:footnote w:id="2">
    <w:p w:rsidR="00606D83" w:rsidRDefault="00606D83" w:rsidP="000E569E">
      <w:pPr>
        <w:pStyle w:val="FootnoteText"/>
        <w:jc w:val="both"/>
      </w:pPr>
      <w:r w:rsidRPr="000E569E">
        <w:rPr>
          <w:rStyle w:val="FootnoteReference"/>
          <w:rFonts w:ascii="Garamond" w:hAnsi="Garamond"/>
        </w:rPr>
        <w:footnoteRef/>
      </w:r>
      <w:r w:rsidRPr="000E569E">
        <w:rPr>
          <w:rFonts w:ascii="Garamond" w:hAnsi="Garamond"/>
          <w:lang w:val="es-AR"/>
        </w:rPr>
        <w:t xml:space="preserve"> Denominación completa de la Sociedad.</w:t>
      </w:r>
    </w:p>
  </w:footnote>
  <w:footnote w:id="3">
    <w:p w:rsidR="00606D83" w:rsidRDefault="00606D83" w:rsidP="000E569E">
      <w:pPr>
        <w:pStyle w:val="FootnoteText"/>
        <w:jc w:val="both"/>
      </w:pPr>
      <w:r w:rsidRPr="000E569E">
        <w:rPr>
          <w:rStyle w:val="FootnoteReference"/>
          <w:rFonts w:ascii="Garamond" w:hAnsi="Garamond"/>
        </w:rPr>
        <w:footnoteRef/>
      </w:r>
      <w:r w:rsidRPr="000E569E">
        <w:rPr>
          <w:rFonts w:ascii="Garamond" w:hAnsi="Garamond"/>
          <w:lang w:val="es-AR"/>
        </w:rPr>
        <w:t xml:space="preserve"> Órgano de administración de la entidad (por ejemplo: Directorio, Gerencia, Consejo de Administración, etc.), según la naturaleza de la entidad.</w:t>
      </w:r>
    </w:p>
  </w:footnote>
  <w:footnote w:id="4">
    <w:p w:rsidR="00606D83" w:rsidRDefault="00606D83" w:rsidP="000E569E">
      <w:pPr>
        <w:pStyle w:val="FootnoteText"/>
        <w:jc w:val="both"/>
      </w:pPr>
      <w:r w:rsidRPr="000E569E">
        <w:rPr>
          <w:rStyle w:val="FootnoteReference"/>
          <w:rFonts w:ascii="Garamond" w:hAnsi="Garamond"/>
        </w:rPr>
        <w:footnoteRef/>
      </w:r>
      <w:r w:rsidRPr="00A117BE">
        <w:rPr>
          <w:rFonts w:ascii="Garamond" w:hAnsi="Garamond"/>
          <w:lang w:val="es-AR"/>
        </w:rPr>
        <w:t xml:space="preserve"> </w:t>
      </w:r>
      <w:r w:rsidRPr="000E569E">
        <w:rPr>
          <w:rFonts w:ascii="Garamond" w:hAnsi="Garamond"/>
          <w:lang w:val="es-AR"/>
        </w:rPr>
        <w:t>Ídem 3.</w:t>
      </w:r>
    </w:p>
  </w:footnote>
  <w:footnote w:id="5">
    <w:p w:rsidR="00606D83" w:rsidRDefault="00606D83" w:rsidP="007E640D">
      <w:pPr>
        <w:pStyle w:val="FootnoteText"/>
        <w:jc w:val="both"/>
      </w:pPr>
      <w:r w:rsidRPr="007E640D">
        <w:rPr>
          <w:rStyle w:val="FootnoteReference"/>
          <w:rFonts w:ascii="Garamond" w:hAnsi="Garamond"/>
        </w:rPr>
        <w:footnoteRef/>
      </w:r>
      <w:r w:rsidRPr="007E640D">
        <w:rPr>
          <w:rFonts w:ascii="Garamond" w:hAnsi="Garamond"/>
          <w:lang w:val="es-AR"/>
        </w:rPr>
        <w:t xml:space="preserve"> Evitar el uso de expresiones como “auditar”, “revisar” o “examinar”, que podrían dar a entender que se trata de un encargo de aseguramiento.</w:t>
      </w:r>
    </w:p>
  </w:footnote>
  <w:footnote w:id="6">
    <w:p w:rsidR="00606D83" w:rsidRDefault="00606D83" w:rsidP="007E640D">
      <w:pPr>
        <w:pStyle w:val="FootnoteText"/>
        <w:jc w:val="both"/>
      </w:pPr>
      <w:r w:rsidRPr="007E640D">
        <w:rPr>
          <w:rStyle w:val="FootnoteReference"/>
          <w:rFonts w:ascii="Garamond" w:hAnsi="Garamond"/>
        </w:rPr>
        <w:footnoteRef/>
      </w:r>
      <w:r w:rsidRPr="00A117BE">
        <w:rPr>
          <w:rFonts w:ascii="Garamond" w:hAnsi="Garamond"/>
          <w:lang w:val="es-AR"/>
        </w:rPr>
        <w:t xml:space="preserve"> Ídem 3.</w:t>
      </w:r>
    </w:p>
  </w:footnote>
  <w:footnote w:id="7">
    <w:p w:rsidR="00606D83" w:rsidRDefault="00606D83" w:rsidP="004029AC">
      <w:pPr>
        <w:pStyle w:val="FootnoteText"/>
        <w:jc w:val="both"/>
      </w:pPr>
      <w:r w:rsidRPr="004029AC">
        <w:rPr>
          <w:rStyle w:val="FootnoteReference"/>
          <w:rFonts w:ascii="Garamond" w:hAnsi="Garamond"/>
        </w:rPr>
        <w:footnoteRef/>
      </w:r>
      <w:r w:rsidRPr="004029AC">
        <w:rPr>
          <w:rFonts w:ascii="Garamond" w:hAnsi="Garamond"/>
          <w:lang w:val="es-AR"/>
        </w:rPr>
        <w:t xml:space="preserve"> Bienes de Cambio, para las Normas Contables Profesionales Argentinas (NCPA)</w:t>
      </w:r>
    </w:p>
  </w:footnote>
  <w:footnote w:id="8">
    <w:p w:rsidR="00606D83" w:rsidRDefault="00606D83" w:rsidP="004029AC">
      <w:pPr>
        <w:pStyle w:val="FootnoteText"/>
        <w:jc w:val="both"/>
      </w:pPr>
      <w:r w:rsidRPr="004029AC">
        <w:rPr>
          <w:rStyle w:val="FootnoteReference"/>
          <w:rFonts w:ascii="Garamond" w:hAnsi="Garamond"/>
        </w:rPr>
        <w:footnoteRef/>
      </w:r>
      <w:r w:rsidRPr="004029AC">
        <w:rPr>
          <w:rFonts w:ascii="Garamond" w:hAnsi="Garamond"/>
          <w:lang w:val="es-AR"/>
        </w:rPr>
        <w:t xml:space="preserve"> Bienes de Uso para las N</w:t>
      </w:r>
      <w:r>
        <w:rPr>
          <w:rFonts w:ascii="Garamond" w:hAnsi="Garamond"/>
          <w:lang w:val="es-AR"/>
        </w:rPr>
        <w:t>ormas Contables Profesionales Argentinas (NCPA)</w:t>
      </w:r>
    </w:p>
  </w:footnote>
  <w:footnote w:id="9">
    <w:p w:rsidR="00606D83" w:rsidRDefault="00606D83" w:rsidP="00A31A62">
      <w:pPr>
        <w:pStyle w:val="FootnoteText"/>
        <w:jc w:val="both"/>
        <w:rPr>
          <w:rFonts w:ascii="Garamond" w:hAnsi="Garamond"/>
          <w:lang w:val="es-AR"/>
        </w:rPr>
      </w:pPr>
      <w:r w:rsidRPr="00D06E24">
        <w:rPr>
          <w:rStyle w:val="FootnoteReference"/>
          <w:rFonts w:ascii="Garamond" w:hAnsi="Garamond"/>
        </w:rPr>
        <w:footnoteRef/>
      </w:r>
      <w:r w:rsidRPr="00D06E24">
        <w:rPr>
          <w:rFonts w:ascii="Garamond" w:hAnsi="Garamond"/>
          <w:lang w:val="es-AR"/>
        </w:rPr>
        <w:t xml:space="preserve"> De existir, agregar “except</w:t>
      </w:r>
      <w:r>
        <w:rPr>
          <w:rFonts w:ascii="Garamond" w:hAnsi="Garamond"/>
          <w:lang w:val="es-AR"/>
        </w:rPr>
        <w:t>o</w:t>
      </w:r>
      <w:r w:rsidRPr="00D06E24">
        <w:rPr>
          <w:rFonts w:ascii="Garamond" w:hAnsi="Garamond"/>
          <w:lang w:val="es-AR"/>
        </w:rPr>
        <w:t xml:space="preserve"> por l</w:t>
      </w:r>
      <w:r>
        <w:rPr>
          <w:rFonts w:ascii="Garamond" w:hAnsi="Garamond"/>
          <w:lang w:val="es-AR"/>
        </w:rPr>
        <w:t>as siguientes observaciones o excepciones” y detalladas a continuación.</w:t>
      </w:r>
    </w:p>
    <w:p w:rsidR="00606D83" w:rsidRDefault="00606D83" w:rsidP="00A31A62">
      <w:pPr>
        <w:pStyle w:val="FootnoteText"/>
        <w:jc w:val="both"/>
        <w:rPr>
          <w:rFonts w:ascii="Garamond" w:hAnsi="Garamond"/>
          <w:lang w:val="es-AR"/>
        </w:rPr>
      </w:pPr>
      <w:r>
        <w:rPr>
          <w:rFonts w:ascii="Garamond" w:hAnsi="Garamond"/>
          <w:lang w:val="es-AR"/>
        </w:rPr>
        <w:t>Por ejemplo:</w:t>
      </w:r>
    </w:p>
    <w:p w:rsidR="00606D83" w:rsidRDefault="00606D83" w:rsidP="00DE6C64">
      <w:pPr>
        <w:pStyle w:val="FootnoteText"/>
        <w:numPr>
          <w:ilvl w:val="0"/>
          <w:numId w:val="15"/>
        </w:numPr>
        <w:ind w:left="357" w:hanging="357"/>
        <w:jc w:val="both"/>
        <w:rPr>
          <w:rFonts w:ascii="Garamond" w:hAnsi="Garamond"/>
          <w:lang w:val="es-AR"/>
        </w:rPr>
      </w:pPr>
      <w:r>
        <w:rPr>
          <w:rFonts w:ascii="Garamond" w:hAnsi="Garamond"/>
          <w:lang w:val="es-AR"/>
        </w:rPr>
        <w:t>Con respecto al apartado 4.III.a, comprobamos que la suma es incorrecta, siendo el valor correcto…</w:t>
      </w:r>
    </w:p>
    <w:p w:rsidR="00606D83" w:rsidRDefault="00606D83" w:rsidP="00DE6C64">
      <w:pPr>
        <w:pStyle w:val="FootnoteText"/>
        <w:numPr>
          <w:ilvl w:val="0"/>
          <w:numId w:val="15"/>
        </w:numPr>
        <w:ind w:left="357" w:hanging="357"/>
        <w:jc w:val="both"/>
      </w:pPr>
      <w:r>
        <w:rPr>
          <w:rFonts w:ascii="Garamond" w:hAnsi="Garamond"/>
          <w:lang w:val="es-AR"/>
        </w:rPr>
        <w:t>Con respecto al apartado 4.IV.b, corroboramos que las facturas fueron asentadas en los registros contables, con las siguientes excepciones:…</w:t>
      </w:r>
    </w:p>
  </w:footnote>
  <w:footnote w:id="10">
    <w:p w:rsidR="00606D83" w:rsidRDefault="00606D83" w:rsidP="00A31A62">
      <w:pPr>
        <w:pStyle w:val="FootnoteText"/>
        <w:jc w:val="both"/>
      </w:pPr>
      <w:r w:rsidRPr="00A31A62">
        <w:rPr>
          <w:rStyle w:val="FootnoteReference"/>
          <w:rFonts w:ascii="Garamond" w:hAnsi="Garamond"/>
        </w:rPr>
        <w:footnoteRef/>
      </w:r>
      <w:r w:rsidRPr="00A117BE">
        <w:rPr>
          <w:rFonts w:ascii="Garamond" w:hAnsi="Garamond"/>
          <w:lang w:val="es-AR"/>
        </w:rPr>
        <w:t xml:space="preserve"> Ídem 3.</w:t>
      </w:r>
    </w:p>
  </w:footnote>
  <w:footnote w:id="11">
    <w:p w:rsidR="00606D83" w:rsidRDefault="00606D83" w:rsidP="00A117BE">
      <w:pPr>
        <w:pStyle w:val="FootnoteText"/>
        <w:jc w:val="both"/>
      </w:pPr>
      <w:r w:rsidRPr="00A117BE">
        <w:rPr>
          <w:rStyle w:val="FootnoteReference"/>
          <w:rFonts w:ascii="Garamond" w:hAnsi="Garamond"/>
        </w:rPr>
        <w:footnoteRef/>
      </w:r>
      <w:r w:rsidRPr="00A117BE">
        <w:rPr>
          <w:rFonts w:ascii="Garamond" w:hAnsi="Garamond"/>
          <w:lang w:val="es-AR"/>
        </w:rPr>
        <w:t xml:space="preserve"> </w:t>
      </w:r>
      <w:r w:rsidRPr="00A117BE">
        <w:rPr>
          <w:rFonts w:ascii="Garamond" w:hAnsi="Garamond"/>
          <w:u w:val="single"/>
          <w:lang w:val="es-AR"/>
        </w:rPr>
        <w:t>Alternativamente y de corresponder</w:t>
      </w:r>
      <w:r w:rsidRPr="00A117BE">
        <w:rPr>
          <w:rFonts w:ascii="Garamond" w:hAnsi="Garamond"/>
          <w:lang w:val="es-AR"/>
        </w:rPr>
        <w:t xml:space="preserve">: “b) Adicionalmente informo que, al </w:t>
      </w:r>
      <w:r>
        <w:rPr>
          <w:rFonts w:ascii="Garamond" w:hAnsi="Garamond"/>
          <w:lang w:val="es-AR"/>
        </w:rPr>
        <w:t>18</w:t>
      </w:r>
      <w:r w:rsidRPr="00A117BE">
        <w:rPr>
          <w:rFonts w:ascii="Garamond" w:hAnsi="Garamond"/>
          <w:lang w:val="es-AR"/>
        </w:rPr>
        <w:t>/</w:t>
      </w:r>
      <w:r>
        <w:rPr>
          <w:rFonts w:ascii="Garamond" w:hAnsi="Garamond"/>
          <w:lang w:val="es-AR"/>
        </w:rPr>
        <w:t>12/</w:t>
      </w:r>
      <w:r w:rsidRPr="00A117BE">
        <w:rPr>
          <w:rFonts w:ascii="Garamond" w:hAnsi="Garamond"/>
          <w:lang w:val="es-AR"/>
        </w:rPr>
        <w:t>20</w:t>
      </w:r>
      <w:r>
        <w:rPr>
          <w:rFonts w:ascii="Garamond" w:hAnsi="Garamond"/>
          <w:lang w:val="es-AR"/>
        </w:rPr>
        <w:t>20</w:t>
      </w:r>
      <w:r w:rsidRPr="00A117BE">
        <w:rPr>
          <w:rFonts w:ascii="Garamond" w:hAnsi="Garamond"/>
          <w:lang w:val="es-AR"/>
        </w:rPr>
        <w:t xml:space="preserve"> no surgen de las registraciones contables deudas devengadas a favor del Sistema Integrado Previsional Argentino (SIPA).”</w:t>
      </w:r>
    </w:p>
  </w:footnote>
  <w:footnote w:id="12">
    <w:p w:rsidR="00606D83" w:rsidRDefault="00606D83" w:rsidP="00A31A62">
      <w:pPr>
        <w:pStyle w:val="FootnoteText"/>
        <w:jc w:val="both"/>
      </w:pPr>
      <w:r w:rsidRPr="00A31A62">
        <w:rPr>
          <w:rStyle w:val="FootnoteReference"/>
          <w:rFonts w:ascii="Garamond" w:hAnsi="Garamond"/>
        </w:rPr>
        <w:footnoteRef/>
      </w:r>
      <w:r w:rsidRPr="00A117BE">
        <w:rPr>
          <w:rFonts w:ascii="Garamond" w:hAnsi="Garamond"/>
          <w:lang w:val="es-AR"/>
        </w:rPr>
        <w:t xml:space="preserve"> Ídem 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54074"/>
    <w:multiLevelType w:val="hybridMultilevel"/>
    <w:tmpl w:val="8C587EA4"/>
    <w:lvl w:ilvl="0" w:tplc="2C0A0019">
      <w:start w:val="1"/>
      <w:numFmt w:val="lowerLetter"/>
      <w:lvlText w:val="%1."/>
      <w:lvlJc w:val="left"/>
      <w:pPr>
        <w:ind w:left="1778" w:hanging="360"/>
      </w:pPr>
      <w:rPr>
        <w:rFonts w:cs="Times New Roman"/>
      </w:rPr>
    </w:lvl>
    <w:lvl w:ilvl="1" w:tplc="2C0A0019" w:tentative="1">
      <w:start w:val="1"/>
      <w:numFmt w:val="lowerLetter"/>
      <w:lvlText w:val="%2."/>
      <w:lvlJc w:val="left"/>
      <w:pPr>
        <w:ind w:left="1724" w:hanging="360"/>
      </w:pPr>
      <w:rPr>
        <w:rFonts w:cs="Times New Roman"/>
      </w:rPr>
    </w:lvl>
    <w:lvl w:ilvl="2" w:tplc="2C0A001B">
      <w:start w:val="1"/>
      <w:numFmt w:val="lowerRoman"/>
      <w:lvlText w:val="%3."/>
      <w:lvlJc w:val="right"/>
      <w:pPr>
        <w:ind w:left="2444" w:hanging="180"/>
      </w:pPr>
      <w:rPr>
        <w:rFonts w:cs="Times New Roman"/>
      </w:rPr>
    </w:lvl>
    <w:lvl w:ilvl="3" w:tplc="2C0A000F" w:tentative="1">
      <w:start w:val="1"/>
      <w:numFmt w:val="decimal"/>
      <w:lvlText w:val="%4."/>
      <w:lvlJc w:val="left"/>
      <w:pPr>
        <w:ind w:left="3164" w:hanging="360"/>
      </w:pPr>
      <w:rPr>
        <w:rFonts w:cs="Times New Roman"/>
      </w:rPr>
    </w:lvl>
    <w:lvl w:ilvl="4" w:tplc="2C0A0019" w:tentative="1">
      <w:start w:val="1"/>
      <w:numFmt w:val="lowerLetter"/>
      <w:lvlText w:val="%5."/>
      <w:lvlJc w:val="left"/>
      <w:pPr>
        <w:ind w:left="3884" w:hanging="360"/>
      </w:pPr>
      <w:rPr>
        <w:rFonts w:cs="Times New Roman"/>
      </w:rPr>
    </w:lvl>
    <w:lvl w:ilvl="5" w:tplc="2C0A001B" w:tentative="1">
      <w:start w:val="1"/>
      <w:numFmt w:val="lowerRoman"/>
      <w:lvlText w:val="%6."/>
      <w:lvlJc w:val="right"/>
      <w:pPr>
        <w:ind w:left="4604" w:hanging="180"/>
      </w:pPr>
      <w:rPr>
        <w:rFonts w:cs="Times New Roman"/>
      </w:rPr>
    </w:lvl>
    <w:lvl w:ilvl="6" w:tplc="2C0A000F" w:tentative="1">
      <w:start w:val="1"/>
      <w:numFmt w:val="decimal"/>
      <w:lvlText w:val="%7."/>
      <w:lvlJc w:val="left"/>
      <w:pPr>
        <w:ind w:left="5324" w:hanging="360"/>
      </w:pPr>
      <w:rPr>
        <w:rFonts w:cs="Times New Roman"/>
      </w:rPr>
    </w:lvl>
    <w:lvl w:ilvl="7" w:tplc="2C0A0019" w:tentative="1">
      <w:start w:val="1"/>
      <w:numFmt w:val="lowerLetter"/>
      <w:lvlText w:val="%8."/>
      <w:lvlJc w:val="left"/>
      <w:pPr>
        <w:ind w:left="6044" w:hanging="360"/>
      </w:pPr>
      <w:rPr>
        <w:rFonts w:cs="Times New Roman"/>
      </w:rPr>
    </w:lvl>
    <w:lvl w:ilvl="8" w:tplc="2C0A001B" w:tentative="1">
      <w:start w:val="1"/>
      <w:numFmt w:val="lowerRoman"/>
      <w:lvlText w:val="%9."/>
      <w:lvlJc w:val="right"/>
      <w:pPr>
        <w:ind w:left="6764" w:hanging="180"/>
      </w:pPr>
      <w:rPr>
        <w:rFonts w:cs="Times New Roman"/>
      </w:rPr>
    </w:lvl>
  </w:abstractNum>
  <w:abstractNum w:abstractNumId="1">
    <w:nsid w:val="16197FEF"/>
    <w:multiLevelType w:val="hybridMultilevel"/>
    <w:tmpl w:val="8C587EA4"/>
    <w:lvl w:ilvl="0" w:tplc="2C0A0019">
      <w:start w:val="1"/>
      <w:numFmt w:val="lowerLetter"/>
      <w:lvlText w:val="%1."/>
      <w:lvlJc w:val="left"/>
      <w:pPr>
        <w:ind w:left="1778" w:hanging="360"/>
      </w:pPr>
      <w:rPr>
        <w:rFonts w:cs="Times New Roman"/>
      </w:rPr>
    </w:lvl>
    <w:lvl w:ilvl="1" w:tplc="2C0A0019" w:tentative="1">
      <w:start w:val="1"/>
      <w:numFmt w:val="lowerLetter"/>
      <w:lvlText w:val="%2."/>
      <w:lvlJc w:val="left"/>
      <w:pPr>
        <w:ind w:left="1724" w:hanging="360"/>
      </w:pPr>
      <w:rPr>
        <w:rFonts w:cs="Times New Roman"/>
      </w:rPr>
    </w:lvl>
    <w:lvl w:ilvl="2" w:tplc="2C0A001B">
      <w:start w:val="1"/>
      <w:numFmt w:val="lowerRoman"/>
      <w:lvlText w:val="%3."/>
      <w:lvlJc w:val="right"/>
      <w:pPr>
        <w:ind w:left="2444" w:hanging="180"/>
      </w:pPr>
      <w:rPr>
        <w:rFonts w:cs="Times New Roman"/>
      </w:rPr>
    </w:lvl>
    <w:lvl w:ilvl="3" w:tplc="2C0A000F" w:tentative="1">
      <w:start w:val="1"/>
      <w:numFmt w:val="decimal"/>
      <w:lvlText w:val="%4."/>
      <w:lvlJc w:val="left"/>
      <w:pPr>
        <w:ind w:left="3164" w:hanging="360"/>
      </w:pPr>
      <w:rPr>
        <w:rFonts w:cs="Times New Roman"/>
      </w:rPr>
    </w:lvl>
    <w:lvl w:ilvl="4" w:tplc="2C0A0019" w:tentative="1">
      <w:start w:val="1"/>
      <w:numFmt w:val="lowerLetter"/>
      <w:lvlText w:val="%5."/>
      <w:lvlJc w:val="left"/>
      <w:pPr>
        <w:ind w:left="3884" w:hanging="360"/>
      </w:pPr>
      <w:rPr>
        <w:rFonts w:cs="Times New Roman"/>
      </w:rPr>
    </w:lvl>
    <w:lvl w:ilvl="5" w:tplc="2C0A001B" w:tentative="1">
      <w:start w:val="1"/>
      <w:numFmt w:val="lowerRoman"/>
      <w:lvlText w:val="%6."/>
      <w:lvlJc w:val="right"/>
      <w:pPr>
        <w:ind w:left="4604" w:hanging="180"/>
      </w:pPr>
      <w:rPr>
        <w:rFonts w:cs="Times New Roman"/>
      </w:rPr>
    </w:lvl>
    <w:lvl w:ilvl="6" w:tplc="2C0A000F" w:tentative="1">
      <w:start w:val="1"/>
      <w:numFmt w:val="decimal"/>
      <w:lvlText w:val="%7."/>
      <w:lvlJc w:val="left"/>
      <w:pPr>
        <w:ind w:left="5324" w:hanging="360"/>
      </w:pPr>
      <w:rPr>
        <w:rFonts w:cs="Times New Roman"/>
      </w:rPr>
    </w:lvl>
    <w:lvl w:ilvl="7" w:tplc="2C0A0019" w:tentative="1">
      <w:start w:val="1"/>
      <w:numFmt w:val="lowerLetter"/>
      <w:lvlText w:val="%8."/>
      <w:lvlJc w:val="left"/>
      <w:pPr>
        <w:ind w:left="6044" w:hanging="360"/>
      </w:pPr>
      <w:rPr>
        <w:rFonts w:cs="Times New Roman"/>
      </w:rPr>
    </w:lvl>
    <w:lvl w:ilvl="8" w:tplc="2C0A001B" w:tentative="1">
      <w:start w:val="1"/>
      <w:numFmt w:val="lowerRoman"/>
      <w:lvlText w:val="%9."/>
      <w:lvlJc w:val="right"/>
      <w:pPr>
        <w:ind w:left="6764" w:hanging="180"/>
      </w:pPr>
      <w:rPr>
        <w:rFonts w:cs="Times New Roman"/>
      </w:rPr>
    </w:lvl>
  </w:abstractNum>
  <w:abstractNum w:abstractNumId="2">
    <w:nsid w:val="1BB65830"/>
    <w:multiLevelType w:val="hybridMultilevel"/>
    <w:tmpl w:val="8C587EA4"/>
    <w:lvl w:ilvl="0" w:tplc="2C0A0019">
      <w:start w:val="1"/>
      <w:numFmt w:val="lowerLetter"/>
      <w:lvlText w:val="%1."/>
      <w:lvlJc w:val="left"/>
      <w:pPr>
        <w:ind w:left="1778" w:hanging="360"/>
      </w:pPr>
      <w:rPr>
        <w:rFonts w:cs="Times New Roman"/>
      </w:rPr>
    </w:lvl>
    <w:lvl w:ilvl="1" w:tplc="2C0A0019" w:tentative="1">
      <w:start w:val="1"/>
      <w:numFmt w:val="lowerLetter"/>
      <w:lvlText w:val="%2."/>
      <w:lvlJc w:val="left"/>
      <w:pPr>
        <w:ind w:left="1724" w:hanging="360"/>
      </w:pPr>
      <w:rPr>
        <w:rFonts w:cs="Times New Roman"/>
      </w:rPr>
    </w:lvl>
    <w:lvl w:ilvl="2" w:tplc="2C0A001B">
      <w:start w:val="1"/>
      <w:numFmt w:val="lowerRoman"/>
      <w:lvlText w:val="%3."/>
      <w:lvlJc w:val="right"/>
      <w:pPr>
        <w:ind w:left="2444" w:hanging="180"/>
      </w:pPr>
      <w:rPr>
        <w:rFonts w:cs="Times New Roman"/>
      </w:rPr>
    </w:lvl>
    <w:lvl w:ilvl="3" w:tplc="2C0A000F" w:tentative="1">
      <w:start w:val="1"/>
      <w:numFmt w:val="decimal"/>
      <w:lvlText w:val="%4."/>
      <w:lvlJc w:val="left"/>
      <w:pPr>
        <w:ind w:left="3164" w:hanging="360"/>
      </w:pPr>
      <w:rPr>
        <w:rFonts w:cs="Times New Roman"/>
      </w:rPr>
    </w:lvl>
    <w:lvl w:ilvl="4" w:tplc="2C0A0019" w:tentative="1">
      <w:start w:val="1"/>
      <w:numFmt w:val="lowerLetter"/>
      <w:lvlText w:val="%5."/>
      <w:lvlJc w:val="left"/>
      <w:pPr>
        <w:ind w:left="3884" w:hanging="360"/>
      </w:pPr>
      <w:rPr>
        <w:rFonts w:cs="Times New Roman"/>
      </w:rPr>
    </w:lvl>
    <w:lvl w:ilvl="5" w:tplc="2C0A001B" w:tentative="1">
      <w:start w:val="1"/>
      <w:numFmt w:val="lowerRoman"/>
      <w:lvlText w:val="%6."/>
      <w:lvlJc w:val="right"/>
      <w:pPr>
        <w:ind w:left="4604" w:hanging="180"/>
      </w:pPr>
      <w:rPr>
        <w:rFonts w:cs="Times New Roman"/>
      </w:rPr>
    </w:lvl>
    <w:lvl w:ilvl="6" w:tplc="2C0A000F" w:tentative="1">
      <w:start w:val="1"/>
      <w:numFmt w:val="decimal"/>
      <w:lvlText w:val="%7."/>
      <w:lvlJc w:val="left"/>
      <w:pPr>
        <w:ind w:left="5324" w:hanging="360"/>
      </w:pPr>
      <w:rPr>
        <w:rFonts w:cs="Times New Roman"/>
      </w:rPr>
    </w:lvl>
    <w:lvl w:ilvl="7" w:tplc="2C0A0019" w:tentative="1">
      <w:start w:val="1"/>
      <w:numFmt w:val="lowerLetter"/>
      <w:lvlText w:val="%8."/>
      <w:lvlJc w:val="left"/>
      <w:pPr>
        <w:ind w:left="6044" w:hanging="360"/>
      </w:pPr>
      <w:rPr>
        <w:rFonts w:cs="Times New Roman"/>
      </w:rPr>
    </w:lvl>
    <w:lvl w:ilvl="8" w:tplc="2C0A001B" w:tentative="1">
      <w:start w:val="1"/>
      <w:numFmt w:val="lowerRoman"/>
      <w:lvlText w:val="%9."/>
      <w:lvlJc w:val="right"/>
      <w:pPr>
        <w:ind w:left="6764" w:hanging="180"/>
      </w:pPr>
      <w:rPr>
        <w:rFonts w:cs="Times New Roman"/>
      </w:rPr>
    </w:lvl>
  </w:abstractNum>
  <w:abstractNum w:abstractNumId="3">
    <w:nsid w:val="1F216D53"/>
    <w:multiLevelType w:val="hybridMultilevel"/>
    <w:tmpl w:val="8C587EA4"/>
    <w:lvl w:ilvl="0" w:tplc="2C0A0019">
      <w:start w:val="1"/>
      <w:numFmt w:val="lowerLetter"/>
      <w:lvlText w:val="%1."/>
      <w:lvlJc w:val="left"/>
      <w:pPr>
        <w:ind w:left="1778" w:hanging="360"/>
      </w:pPr>
      <w:rPr>
        <w:rFonts w:cs="Times New Roman"/>
      </w:rPr>
    </w:lvl>
    <w:lvl w:ilvl="1" w:tplc="2C0A0019" w:tentative="1">
      <w:start w:val="1"/>
      <w:numFmt w:val="lowerLetter"/>
      <w:lvlText w:val="%2."/>
      <w:lvlJc w:val="left"/>
      <w:pPr>
        <w:ind w:left="1724" w:hanging="360"/>
      </w:pPr>
      <w:rPr>
        <w:rFonts w:cs="Times New Roman"/>
      </w:rPr>
    </w:lvl>
    <w:lvl w:ilvl="2" w:tplc="2C0A001B">
      <w:start w:val="1"/>
      <w:numFmt w:val="lowerRoman"/>
      <w:lvlText w:val="%3."/>
      <w:lvlJc w:val="right"/>
      <w:pPr>
        <w:ind w:left="2444" w:hanging="180"/>
      </w:pPr>
      <w:rPr>
        <w:rFonts w:cs="Times New Roman"/>
      </w:rPr>
    </w:lvl>
    <w:lvl w:ilvl="3" w:tplc="2C0A000F" w:tentative="1">
      <w:start w:val="1"/>
      <w:numFmt w:val="decimal"/>
      <w:lvlText w:val="%4."/>
      <w:lvlJc w:val="left"/>
      <w:pPr>
        <w:ind w:left="3164" w:hanging="360"/>
      </w:pPr>
      <w:rPr>
        <w:rFonts w:cs="Times New Roman"/>
      </w:rPr>
    </w:lvl>
    <w:lvl w:ilvl="4" w:tplc="2C0A0019" w:tentative="1">
      <w:start w:val="1"/>
      <w:numFmt w:val="lowerLetter"/>
      <w:lvlText w:val="%5."/>
      <w:lvlJc w:val="left"/>
      <w:pPr>
        <w:ind w:left="3884" w:hanging="360"/>
      </w:pPr>
      <w:rPr>
        <w:rFonts w:cs="Times New Roman"/>
      </w:rPr>
    </w:lvl>
    <w:lvl w:ilvl="5" w:tplc="2C0A001B" w:tentative="1">
      <w:start w:val="1"/>
      <w:numFmt w:val="lowerRoman"/>
      <w:lvlText w:val="%6."/>
      <w:lvlJc w:val="right"/>
      <w:pPr>
        <w:ind w:left="4604" w:hanging="180"/>
      </w:pPr>
      <w:rPr>
        <w:rFonts w:cs="Times New Roman"/>
      </w:rPr>
    </w:lvl>
    <w:lvl w:ilvl="6" w:tplc="2C0A000F" w:tentative="1">
      <w:start w:val="1"/>
      <w:numFmt w:val="decimal"/>
      <w:lvlText w:val="%7."/>
      <w:lvlJc w:val="left"/>
      <w:pPr>
        <w:ind w:left="5324" w:hanging="360"/>
      </w:pPr>
      <w:rPr>
        <w:rFonts w:cs="Times New Roman"/>
      </w:rPr>
    </w:lvl>
    <w:lvl w:ilvl="7" w:tplc="2C0A0019" w:tentative="1">
      <w:start w:val="1"/>
      <w:numFmt w:val="lowerLetter"/>
      <w:lvlText w:val="%8."/>
      <w:lvlJc w:val="left"/>
      <w:pPr>
        <w:ind w:left="6044" w:hanging="360"/>
      </w:pPr>
      <w:rPr>
        <w:rFonts w:cs="Times New Roman"/>
      </w:rPr>
    </w:lvl>
    <w:lvl w:ilvl="8" w:tplc="2C0A001B" w:tentative="1">
      <w:start w:val="1"/>
      <w:numFmt w:val="lowerRoman"/>
      <w:lvlText w:val="%9."/>
      <w:lvlJc w:val="right"/>
      <w:pPr>
        <w:ind w:left="6764" w:hanging="180"/>
      </w:pPr>
      <w:rPr>
        <w:rFonts w:cs="Times New Roman"/>
      </w:rPr>
    </w:lvl>
  </w:abstractNum>
  <w:abstractNum w:abstractNumId="4">
    <w:nsid w:val="219B6C1D"/>
    <w:multiLevelType w:val="hybridMultilevel"/>
    <w:tmpl w:val="8C587EA4"/>
    <w:lvl w:ilvl="0" w:tplc="2C0A0019">
      <w:start w:val="1"/>
      <w:numFmt w:val="lowerLetter"/>
      <w:lvlText w:val="%1."/>
      <w:lvlJc w:val="left"/>
      <w:pPr>
        <w:ind w:left="1778" w:hanging="360"/>
      </w:pPr>
      <w:rPr>
        <w:rFonts w:cs="Times New Roman"/>
      </w:rPr>
    </w:lvl>
    <w:lvl w:ilvl="1" w:tplc="2C0A0019" w:tentative="1">
      <w:start w:val="1"/>
      <w:numFmt w:val="lowerLetter"/>
      <w:lvlText w:val="%2."/>
      <w:lvlJc w:val="left"/>
      <w:pPr>
        <w:ind w:left="1724" w:hanging="360"/>
      </w:pPr>
      <w:rPr>
        <w:rFonts w:cs="Times New Roman"/>
      </w:rPr>
    </w:lvl>
    <w:lvl w:ilvl="2" w:tplc="2C0A001B">
      <w:start w:val="1"/>
      <w:numFmt w:val="lowerRoman"/>
      <w:lvlText w:val="%3."/>
      <w:lvlJc w:val="right"/>
      <w:pPr>
        <w:ind w:left="2444" w:hanging="180"/>
      </w:pPr>
      <w:rPr>
        <w:rFonts w:cs="Times New Roman"/>
      </w:rPr>
    </w:lvl>
    <w:lvl w:ilvl="3" w:tplc="2C0A000F" w:tentative="1">
      <w:start w:val="1"/>
      <w:numFmt w:val="decimal"/>
      <w:lvlText w:val="%4."/>
      <w:lvlJc w:val="left"/>
      <w:pPr>
        <w:ind w:left="3164" w:hanging="360"/>
      </w:pPr>
      <w:rPr>
        <w:rFonts w:cs="Times New Roman"/>
      </w:rPr>
    </w:lvl>
    <w:lvl w:ilvl="4" w:tplc="2C0A0019" w:tentative="1">
      <w:start w:val="1"/>
      <w:numFmt w:val="lowerLetter"/>
      <w:lvlText w:val="%5."/>
      <w:lvlJc w:val="left"/>
      <w:pPr>
        <w:ind w:left="3884" w:hanging="360"/>
      </w:pPr>
      <w:rPr>
        <w:rFonts w:cs="Times New Roman"/>
      </w:rPr>
    </w:lvl>
    <w:lvl w:ilvl="5" w:tplc="2C0A001B" w:tentative="1">
      <w:start w:val="1"/>
      <w:numFmt w:val="lowerRoman"/>
      <w:lvlText w:val="%6."/>
      <w:lvlJc w:val="right"/>
      <w:pPr>
        <w:ind w:left="4604" w:hanging="180"/>
      </w:pPr>
      <w:rPr>
        <w:rFonts w:cs="Times New Roman"/>
      </w:rPr>
    </w:lvl>
    <w:lvl w:ilvl="6" w:tplc="2C0A000F" w:tentative="1">
      <w:start w:val="1"/>
      <w:numFmt w:val="decimal"/>
      <w:lvlText w:val="%7."/>
      <w:lvlJc w:val="left"/>
      <w:pPr>
        <w:ind w:left="5324" w:hanging="360"/>
      </w:pPr>
      <w:rPr>
        <w:rFonts w:cs="Times New Roman"/>
      </w:rPr>
    </w:lvl>
    <w:lvl w:ilvl="7" w:tplc="2C0A0019" w:tentative="1">
      <w:start w:val="1"/>
      <w:numFmt w:val="lowerLetter"/>
      <w:lvlText w:val="%8."/>
      <w:lvlJc w:val="left"/>
      <w:pPr>
        <w:ind w:left="6044" w:hanging="360"/>
      </w:pPr>
      <w:rPr>
        <w:rFonts w:cs="Times New Roman"/>
      </w:rPr>
    </w:lvl>
    <w:lvl w:ilvl="8" w:tplc="2C0A001B" w:tentative="1">
      <w:start w:val="1"/>
      <w:numFmt w:val="lowerRoman"/>
      <w:lvlText w:val="%9."/>
      <w:lvlJc w:val="right"/>
      <w:pPr>
        <w:ind w:left="6764" w:hanging="180"/>
      </w:pPr>
      <w:rPr>
        <w:rFonts w:cs="Times New Roman"/>
      </w:rPr>
    </w:lvl>
  </w:abstractNum>
  <w:abstractNum w:abstractNumId="5">
    <w:nsid w:val="29D178A7"/>
    <w:multiLevelType w:val="hybridMultilevel"/>
    <w:tmpl w:val="8C587EA4"/>
    <w:lvl w:ilvl="0" w:tplc="2C0A0019">
      <w:start w:val="1"/>
      <w:numFmt w:val="lowerLetter"/>
      <w:lvlText w:val="%1."/>
      <w:lvlJc w:val="left"/>
      <w:pPr>
        <w:ind w:left="1778" w:hanging="360"/>
      </w:pPr>
      <w:rPr>
        <w:rFonts w:cs="Times New Roman"/>
      </w:rPr>
    </w:lvl>
    <w:lvl w:ilvl="1" w:tplc="2C0A0019" w:tentative="1">
      <w:start w:val="1"/>
      <w:numFmt w:val="lowerLetter"/>
      <w:lvlText w:val="%2."/>
      <w:lvlJc w:val="left"/>
      <w:pPr>
        <w:ind w:left="1724" w:hanging="360"/>
      </w:pPr>
      <w:rPr>
        <w:rFonts w:cs="Times New Roman"/>
      </w:rPr>
    </w:lvl>
    <w:lvl w:ilvl="2" w:tplc="2C0A001B">
      <w:start w:val="1"/>
      <w:numFmt w:val="lowerRoman"/>
      <w:lvlText w:val="%3."/>
      <w:lvlJc w:val="right"/>
      <w:pPr>
        <w:ind w:left="2444" w:hanging="180"/>
      </w:pPr>
      <w:rPr>
        <w:rFonts w:cs="Times New Roman"/>
      </w:rPr>
    </w:lvl>
    <w:lvl w:ilvl="3" w:tplc="2C0A000F" w:tentative="1">
      <w:start w:val="1"/>
      <w:numFmt w:val="decimal"/>
      <w:lvlText w:val="%4."/>
      <w:lvlJc w:val="left"/>
      <w:pPr>
        <w:ind w:left="3164" w:hanging="360"/>
      </w:pPr>
      <w:rPr>
        <w:rFonts w:cs="Times New Roman"/>
      </w:rPr>
    </w:lvl>
    <w:lvl w:ilvl="4" w:tplc="2C0A0019" w:tentative="1">
      <w:start w:val="1"/>
      <w:numFmt w:val="lowerLetter"/>
      <w:lvlText w:val="%5."/>
      <w:lvlJc w:val="left"/>
      <w:pPr>
        <w:ind w:left="3884" w:hanging="360"/>
      </w:pPr>
      <w:rPr>
        <w:rFonts w:cs="Times New Roman"/>
      </w:rPr>
    </w:lvl>
    <w:lvl w:ilvl="5" w:tplc="2C0A001B" w:tentative="1">
      <w:start w:val="1"/>
      <w:numFmt w:val="lowerRoman"/>
      <w:lvlText w:val="%6."/>
      <w:lvlJc w:val="right"/>
      <w:pPr>
        <w:ind w:left="4604" w:hanging="180"/>
      </w:pPr>
      <w:rPr>
        <w:rFonts w:cs="Times New Roman"/>
      </w:rPr>
    </w:lvl>
    <w:lvl w:ilvl="6" w:tplc="2C0A000F" w:tentative="1">
      <w:start w:val="1"/>
      <w:numFmt w:val="decimal"/>
      <w:lvlText w:val="%7."/>
      <w:lvlJc w:val="left"/>
      <w:pPr>
        <w:ind w:left="5324" w:hanging="360"/>
      </w:pPr>
      <w:rPr>
        <w:rFonts w:cs="Times New Roman"/>
      </w:rPr>
    </w:lvl>
    <w:lvl w:ilvl="7" w:tplc="2C0A0019" w:tentative="1">
      <w:start w:val="1"/>
      <w:numFmt w:val="lowerLetter"/>
      <w:lvlText w:val="%8."/>
      <w:lvlJc w:val="left"/>
      <w:pPr>
        <w:ind w:left="6044" w:hanging="360"/>
      </w:pPr>
      <w:rPr>
        <w:rFonts w:cs="Times New Roman"/>
      </w:rPr>
    </w:lvl>
    <w:lvl w:ilvl="8" w:tplc="2C0A001B" w:tentative="1">
      <w:start w:val="1"/>
      <w:numFmt w:val="lowerRoman"/>
      <w:lvlText w:val="%9."/>
      <w:lvlJc w:val="right"/>
      <w:pPr>
        <w:ind w:left="6764" w:hanging="180"/>
      </w:pPr>
      <w:rPr>
        <w:rFonts w:cs="Times New Roman"/>
      </w:rPr>
    </w:lvl>
  </w:abstractNum>
  <w:abstractNum w:abstractNumId="6">
    <w:nsid w:val="2AA10CA2"/>
    <w:multiLevelType w:val="hybridMultilevel"/>
    <w:tmpl w:val="8C587EA4"/>
    <w:lvl w:ilvl="0" w:tplc="2C0A0019">
      <w:start w:val="1"/>
      <w:numFmt w:val="lowerLetter"/>
      <w:lvlText w:val="%1."/>
      <w:lvlJc w:val="left"/>
      <w:pPr>
        <w:ind w:left="1778" w:hanging="360"/>
      </w:pPr>
      <w:rPr>
        <w:rFonts w:cs="Times New Roman"/>
      </w:rPr>
    </w:lvl>
    <w:lvl w:ilvl="1" w:tplc="2C0A0019" w:tentative="1">
      <w:start w:val="1"/>
      <w:numFmt w:val="lowerLetter"/>
      <w:lvlText w:val="%2."/>
      <w:lvlJc w:val="left"/>
      <w:pPr>
        <w:ind w:left="1724" w:hanging="360"/>
      </w:pPr>
      <w:rPr>
        <w:rFonts w:cs="Times New Roman"/>
      </w:rPr>
    </w:lvl>
    <w:lvl w:ilvl="2" w:tplc="2C0A001B">
      <w:start w:val="1"/>
      <w:numFmt w:val="lowerRoman"/>
      <w:lvlText w:val="%3."/>
      <w:lvlJc w:val="right"/>
      <w:pPr>
        <w:ind w:left="2444" w:hanging="180"/>
      </w:pPr>
      <w:rPr>
        <w:rFonts w:cs="Times New Roman"/>
      </w:rPr>
    </w:lvl>
    <w:lvl w:ilvl="3" w:tplc="2C0A000F" w:tentative="1">
      <w:start w:val="1"/>
      <w:numFmt w:val="decimal"/>
      <w:lvlText w:val="%4."/>
      <w:lvlJc w:val="left"/>
      <w:pPr>
        <w:ind w:left="3164" w:hanging="360"/>
      </w:pPr>
      <w:rPr>
        <w:rFonts w:cs="Times New Roman"/>
      </w:rPr>
    </w:lvl>
    <w:lvl w:ilvl="4" w:tplc="2C0A0019" w:tentative="1">
      <w:start w:val="1"/>
      <w:numFmt w:val="lowerLetter"/>
      <w:lvlText w:val="%5."/>
      <w:lvlJc w:val="left"/>
      <w:pPr>
        <w:ind w:left="3884" w:hanging="360"/>
      </w:pPr>
      <w:rPr>
        <w:rFonts w:cs="Times New Roman"/>
      </w:rPr>
    </w:lvl>
    <w:lvl w:ilvl="5" w:tplc="2C0A001B" w:tentative="1">
      <w:start w:val="1"/>
      <w:numFmt w:val="lowerRoman"/>
      <w:lvlText w:val="%6."/>
      <w:lvlJc w:val="right"/>
      <w:pPr>
        <w:ind w:left="4604" w:hanging="180"/>
      </w:pPr>
      <w:rPr>
        <w:rFonts w:cs="Times New Roman"/>
      </w:rPr>
    </w:lvl>
    <w:lvl w:ilvl="6" w:tplc="2C0A000F" w:tentative="1">
      <w:start w:val="1"/>
      <w:numFmt w:val="decimal"/>
      <w:lvlText w:val="%7."/>
      <w:lvlJc w:val="left"/>
      <w:pPr>
        <w:ind w:left="5324" w:hanging="360"/>
      </w:pPr>
      <w:rPr>
        <w:rFonts w:cs="Times New Roman"/>
      </w:rPr>
    </w:lvl>
    <w:lvl w:ilvl="7" w:tplc="2C0A0019" w:tentative="1">
      <w:start w:val="1"/>
      <w:numFmt w:val="lowerLetter"/>
      <w:lvlText w:val="%8."/>
      <w:lvlJc w:val="left"/>
      <w:pPr>
        <w:ind w:left="6044" w:hanging="360"/>
      </w:pPr>
      <w:rPr>
        <w:rFonts w:cs="Times New Roman"/>
      </w:rPr>
    </w:lvl>
    <w:lvl w:ilvl="8" w:tplc="2C0A001B" w:tentative="1">
      <w:start w:val="1"/>
      <w:numFmt w:val="lowerRoman"/>
      <w:lvlText w:val="%9."/>
      <w:lvlJc w:val="right"/>
      <w:pPr>
        <w:ind w:left="6764" w:hanging="180"/>
      </w:pPr>
      <w:rPr>
        <w:rFonts w:cs="Times New Roman"/>
      </w:rPr>
    </w:lvl>
  </w:abstractNum>
  <w:abstractNum w:abstractNumId="7">
    <w:nsid w:val="2B8A05E9"/>
    <w:multiLevelType w:val="hybridMultilevel"/>
    <w:tmpl w:val="8C587EA4"/>
    <w:lvl w:ilvl="0" w:tplc="2C0A0019">
      <w:start w:val="1"/>
      <w:numFmt w:val="lowerLetter"/>
      <w:lvlText w:val="%1."/>
      <w:lvlJc w:val="left"/>
      <w:pPr>
        <w:ind w:left="1778" w:hanging="360"/>
      </w:pPr>
      <w:rPr>
        <w:rFonts w:cs="Times New Roman"/>
      </w:rPr>
    </w:lvl>
    <w:lvl w:ilvl="1" w:tplc="2C0A0019" w:tentative="1">
      <w:start w:val="1"/>
      <w:numFmt w:val="lowerLetter"/>
      <w:lvlText w:val="%2."/>
      <w:lvlJc w:val="left"/>
      <w:pPr>
        <w:ind w:left="1724" w:hanging="360"/>
      </w:pPr>
      <w:rPr>
        <w:rFonts w:cs="Times New Roman"/>
      </w:rPr>
    </w:lvl>
    <w:lvl w:ilvl="2" w:tplc="2C0A001B">
      <w:start w:val="1"/>
      <w:numFmt w:val="lowerRoman"/>
      <w:lvlText w:val="%3."/>
      <w:lvlJc w:val="right"/>
      <w:pPr>
        <w:ind w:left="2444" w:hanging="180"/>
      </w:pPr>
      <w:rPr>
        <w:rFonts w:cs="Times New Roman"/>
      </w:rPr>
    </w:lvl>
    <w:lvl w:ilvl="3" w:tplc="2C0A000F" w:tentative="1">
      <w:start w:val="1"/>
      <w:numFmt w:val="decimal"/>
      <w:lvlText w:val="%4."/>
      <w:lvlJc w:val="left"/>
      <w:pPr>
        <w:ind w:left="3164" w:hanging="360"/>
      </w:pPr>
      <w:rPr>
        <w:rFonts w:cs="Times New Roman"/>
      </w:rPr>
    </w:lvl>
    <w:lvl w:ilvl="4" w:tplc="2C0A0019" w:tentative="1">
      <w:start w:val="1"/>
      <w:numFmt w:val="lowerLetter"/>
      <w:lvlText w:val="%5."/>
      <w:lvlJc w:val="left"/>
      <w:pPr>
        <w:ind w:left="3884" w:hanging="360"/>
      </w:pPr>
      <w:rPr>
        <w:rFonts w:cs="Times New Roman"/>
      </w:rPr>
    </w:lvl>
    <w:lvl w:ilvl="5" w:tplc="2C0A001B" w:tentative="1">
      <w:start w:val="1"/>
      <w:numFmt w:val="lowerRoman"/>
      <w:lvlText w:val="%6."/>
      <w:lvlJc w:val="right"/>
      <w:pPr>
        <w:ind w:left="4604" w:hanging="180"/>
      </w:pPr>
      <w:rPr>
        <w:rFonts w:cs="Times New Roman"/>
      </w:rPr>
    </w:lvl>
    <w:lvl w:ilvl="6" w:tplc="2C0A000F" w:tentative="1">
      <w:start w:val="1"/>
      <w:numFmt w:val="decimal"/>
      <w:lvlText w:val="%7."/>
      <w:lvlJc w:val="left"/>
      <w:pPr>
        <w:ind w:left="5324" w:hanging="360"/>
      </w:pPr>
      <w:rPr>
        <w:rFonts w:cs="Times New Roman"/>
      </w:rPr>
    </w:lvl>
    <w:lvl w:ilvl="7" w:tplc="2C0A0019" w:tentative="1">
      <w:start w:val="1"/>
      <w:numFmt w:val="lowerLetter"/>
      <w:lvlText w:val="%8."/>
      <w:lvlJc w:val="left"/>
      <w:pPr>
        <w:ind w:left="6044" w:hanging="360"/>
      </w:pPr>
      <w:rPr>
        <w:rFonts w:cs="Times New Roman"/>
      </w:rPr>
    </w:lvl>
    <w:lvl w:ilvl="8" w:tplc="2C0A001B" w:tentative="1">
      <w:start w:val="1"/>
      <w:numFmt w:val="lowerRoman"/>
      <w:lvlText w:val="%9."/>
      <w:lvlJc w:val="right"/>
      <w:pPr>
        <w:ind w:left="6764" w:hanging="180"/>
      </w:pPr>
      <w:rPr>
        <w:rFonts w:cs="Times New Roman"/>
      </w:rPr>
    </w:lvl>
  </w:abstractNum>
  <w:abstractNum w:abstractNumId="8">
    <w:nsid w:val="34874EB8"/>
    <w:multiLevelType w:val="hybridMultilevel"/>
    <w:tmpl w:val="8C587EA4"/>
    <w:lvl w:ilvl="0" w:tplc="2C0A0019">
      <w:start w:val="1"/>
      <w:numFmt w:val="lowerLetter"/>
      <w:lvlText w:val="%1."/>
      <w:lvlJc w:val="left"/>
      <w:pPr>
        <w:ind w:left="1778" w:hanging="360"/>
      </w:pPr>
      <w:rPr>
        <w:rFonts w:cs="Times New Roman"/>
      </w:rPr>
    </w:lvl>
    <w:lvl w:ilvl="1" w:tplc="2C0A0019" w:tentative="1">
      <w:start w:val="1"/>
      <w:numFmt w:val="lowerLetter"/>
      <w:lvlText w:val="%2."/>
      <w:lvlJc w:val="left"/>
      <w:pPr>
        <w:ind w:left="1724" w:hanging="360"/>
      </w:pPr>
      <w:rPr>
        <w:rFonts w:cs="Times New Roman"/>
      </w:rPr>
    </w:lvl>
    <w:lvl w:ilvl="2" w:tplc="2C0A001B">
      <w:start w:val="1"/>
      <w:numFmt w:val="lowerRoman"/>
      <w:lvlText w:val="%3."/>
      <w:lvlJc w:val="right"/>
      <w:pPr>
        <w:ind w:left="2444" w:hanging="180"/>
      </w:pPr>
      <w:rPr>
        <w:rFonts w:cs="Times New Roman"/>
      </w:rPr>
    </w:lvl>
    <w:lvl w:ilvl="3" w:tplc="2C0A000F" w:tentative="1">
      <w:start w:val="1"/>
      <w:numFmt w:val="decimal"/>
      <w:lvlText w:val="%4."/>
      <w:lvlJc w:val="left"/>
      <w:pPr>
        <w:ind w:left="3164" w:hanging="360"/>
      </w:pPr>
      <w:rPr>
        <w:rFonts w:cs="Times New Roman"/>
      </w:rPr>
    </w:lvl>
    <w:lvl w:ilvl="4" w:tplc="2C0A0019" w:tentative="1">
      <w:start w:val="1"/>
      <w:numFmt w:val="lowerLetter"/>
      <w:lvlText w:val="%5."/>
      <w:lvlJc w:val="left"/>
      <w:pPr>
        <w:ind w:left="3884" w:hanging="360"/>
      </w:pPr>
      <w:rPr>
        <w:rFonts w:cs="Times New Roman"/>
      </w:rPr>
    </w:lvl>
    <w:lvl w:ilvl="5" w:tplc="2C0A001B" w:tentative="1">
      <w:start w:val="1"/>
      <w:numFmt w:val="lowerRoman"/>
      <w:lvlText w:val="%6."/>
      <w:lvlJc w:val="right"/>
      <w:pPr>
        <w:ind w:left="4604" w:hanging="180"/>
      </w:pPr>
      <w:rPr>
        <w:rFonts w:cs="Times New Roman"/>
      </w:rPr>
    </w:lvl>
    <w:lvl w:ilvl="6" w:tplc="2C0A000F" w:tentative="1">
      <w:start w:val="1"/>
      <w:numFmt w:val="decimal"/>
      <w:lvlText w:val="%7."/>
      <w:lvlJc w:val="left"/>
      <w:pPr>
        <w:ind w:left="5324" w:hanging="360"/>
      </w:pPr>
      <w:rPr>
        <w:rFonts w:cs="Times New Roman"/>
      </w:rPr>
    </w:lvl>
    <w:lvl w:ilvl="7" w:tplc="2C0A0019" w:tentative="1">
      <w:start w:val="1"/>
      <w:numFmt w:val="lowerLetter"/>
      <w:lvlText w:val="%8."/>
      <w:lvlJc w:val="left"/>
      <w:pPr>
        <w:ind w:left="6044" w:hanging="360"/>
      </w:pPr>
      <w:rPr>
        <w:rFonts w:cs="Times New Roman"/>
      </w:rPr>
    </w:lvl>
    <w:lvl w:ilvl="8" w:tplc="2C0A001B" w:tentative="1">
      <w:start w:val="1"/>
      <w:numFmt w:val="lowerRoman"/>
      <w:lvlText w:val="%9."/>
      <w:lvlJc w:val="right"/>
      <w:pPr>
        <w:ind w:left="6764" w:hanging="180"/>
      </w:pPr>
      <w:rPr>
        <w:rFonts w:cs="Times New Roman"/>
      </w:rPr>
    </w:lvl>
  </w:abstractNum>
  <w:abstractNum w:abstractNumId="9">
    <w:nsid w:val="3CBF3ADF"/>
    <w:multiLevelType w:val="hybridMultilevel"/>
    <w:tmpl w:val="8C587EA4"/>
    <w:lvl w:ilvl="0" w:tplc="2C0A0019">
      <w:start w:val="1"/>
      <w:numFmt w:val="lowerLetter"/>
      <w:lvlText w:val="%1."/>
      <w:lvlJc w:val="left"/>
      <w:pPr>
        <w:ind w:left="1778" w:hanging="360"/>
      </w:pPr>
      <w:rPr>
        <w:rFonts w:cs="Times New Roman"/>
      </w:rPr>
    </w:lvl>
    <w:lvl w:ilvl="1" w:tplc="2C0A0019" w:tentative="1">
      <w:start w:val="1"/>
      <w:numFmt w:val="lowerLetter"/>
      <w:lvlText w:val="%2."/>
      <w:lvlJc w:val="left"/>
      <w:pPr>
        <w:ind w:left="1724" w:hanging="360"/>
      </w:pPr>
      <w:rPr>
        <w:rFonts w:cs="Times New Roman"/>
      </w:rPr>
    </w:lvl>
    <w:lvl w:ilvl="2" w:tplc="2C0A001B">
      <w:start w:val="1"/>
      <w:numFmt w:val="lowerRoman"/>
      <w:lvlText w:val="%3."/>
      <w:lvlJc w:val="right"/>
      <w:pPr>
        <w:ind w:left="2444" w:hanging="180"/>
      </w:pPr>
      <w:rPr>
        <w:rFonts w:cs="Times New Roman"/>
      </w:rPr>
    </w:lvl>
    <w:lvl w:ilvl="3" w:tplc="2C0A000F" w:tentative="1">
      <w:start w:val="1"/>
      <w:numFmt w:val="decimal"/>
      <w:lvlText w:val="%4."/>
      <w:lvlJc w:val="left"/>
      <w:pPr>
        <w:ind w:left="3164" w:hanging="360"/>
      </w:pPr>
      <w:rPr>
        <w:rFonts w:cs="Times New Roman"/>
      </w:rPr>
    </w:lvl>
    <w:lvl w:ilvl="4" w:tplc="2C0A0019" w:tentative="1">
      <w:start w:val="1"/>
      <w:numFmt w:val="lowerLetter"/>
      <w:lvlText w:val="%5."/>
      <w:lvlJc w:val="left"/>
      <w:pPr>
        <w:ind w:left="3884" w:hanging="360"/>
      </w:pPr>
      <w:rPr>
        <w:rFonts w:cs="Times New Roman"/>
      </w:rPr>
    </w:lvl>
    <w:lvl w:ilvl="5" w:tplc="2C0A001B" w:tentative="1">
      <w:start w:val="1"/>
      <w:numFmt w:val="lowerRoman"/>
      <w:lvlText w:val="%6."/>
      <w:lvlJc w:val="right"/>
      <w:pPr>
        <w:ind w:left="4604" w:hanging="180"/>
      </w:pPr>
      <w:rPr>
        <w:rFonts w:cs="Times New Roman"/>
      </w:rPr>
    </w:lvl>
    <w:lvl w:ilvl="6" w:tplc="2C0A000F" w:tentative="1">
      <w:start w:val="1"/>
      <w:numFmt w:val="decimal"/>
      <w:lvlText w:val="%7."/>
      <w:lvlJc w:val="left"/>
      <w:pPr>
        <w:ind w:left="5324" w:hanging="360"/>
      </w:pPr>
      <w:rPr>
        <w:rFonts w:cs="Times New Roman"/>
      </w:rPr>
    </w:lvl>
    <w:lvl w:ilvl="7" w:tplc="2C0A0019" w:tentative="1">
      <w:start w:val="1"/>
      <w:numFmt w:val="lowerLetter"/>
      <w:lvlText w:val="%8."/>
      <w:lvlJc w:val="left"/>
      <w:pPr>
        <w:ind w:left="6044" w:hanging="360"/>
      </w:pPr>
      <w:rPr>
        <w:rFonts w:cs="Times New Roman"/>
      </w:rPr>
    </w:lvl>
    <w:lvl w:ilvl="8" w:tplc="2C0A001B" w:tentative="1">
      <w:start w:val="1"/>
      <w:numFmt w:val="lowerRoman"/>
      <w:lvlText w:val="%9."/>
      <w:lvlJc w:val="right"/>
      <w:pPr>
        <w:ind w:left="6764" w:hanging="180"/>
      </w:pPr>
      <w:rPr>
        <w:rFonts w:cs="Times New Roman"/>
      </w:rPr>
    </w:lvl>
  </w:abstractNum>
  <w:abstractNum w:abstractNumId="10">
    <w:nsid w:val="43491548"/>
    <w:multiLevelType w:val="hybridMultilevel"/>
    <w:tmpl w:val="C9F66886"/>
    <w:lvl w:ilvl="0" w:tplc="2C0A0017">
      <w:start w:val="1"/>
      <w:numFmt w:val="lowerLetter"/>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1">
    <w:nsid w:val="51FC070F"/>
    <w:multiLevelType w:val="hybridMultilevel"/>
    <w:tmpl w:val="8C587EA4"/>
    <w:lvl w:ilvl="0" w:tplc="2C0A0019">
      <w:start w:val="1"/>
      <w:numFmt w:val="lowerLetter"/>
      <w:lvlText w:val="%1."/>
      <w:lvlJc w:val="left"/>
      <w:pPr>
        <w:ind w:left="1778" w:hanging="360"/>
      </w:pPr>
      <w:rPr>
        <w:rFonts w:cs="Times New Roman"/>
      </w:rPr>
    </w:lvl>
    <w:lvl w:ilvl="1" w:tplc="2C0A0019" w:tentative="1">
      <w:start w:val="1"/>
      <w:numFmt w:val="lowerLetter"/>
      <w:lvlText w:val="%2."/>
      <w:lvlJc w:val="left"/>
      <w:pPr>
        <w:ind w:left="1724" w:hanging="360"/>
      </w:pPr>
      <w:rPr>
        <w:rFonts w:cs="Times New Roman"/>
      </w:rPr>
    </w:lvl>
    <w:lvl w:ilvl="2" w:tplc="2C0A001B">
      <w:start w:val="1"/>
      <w:numFmt w:val="lowerRoman"/>
      <w:lvlText w:val="%3."/>
      <w:lvlJc w:val="right"/>
      <w:pPr>
        <w:ind w:left="2444" w:hanging="180"/>
      </w:pPr>
      <w:rPr>
        <w:rFonts w:cs="Times New Roman"/>
      </w:rPr>
    </w:lvl>
    <w:lvl w:ilvl="3" w:tplc="2C0A000F" w:tentative="1">
      <w:start w:val="1"/>
      <w:numFmt w:val="decimal"/>
      <w:lvlText w:val="%4."/>
      <w:lvlJc w:val="left"/>
      <w:pPr>
        <w:ind w:left="3164" w:hanging="360"/>
      </w:pPr>
      <w:rPr>
        <w:rFonts w:cs="Times New Roman"/>
      </w:rPr>
    </w:lvl>
    <w:lvl w:ilvl="4" w:tplc="2C0A0019" w:tentative="1">
      <w:start w:val="1"/>
      <w:numFmt w:val="lowerLetter"/>
      <w:lvlText w:val="%5."/>
      <w:lvlJc w:val="left"/>
      <w:pPr>
        <w:ind w:left="3884" w:hanging="360"/>
      </w:pPr>
      <w:rPr>
        <w:rFonts w:cs="Times New Roman"/>
      </w:rPr>
    </w:lvl>
    <w:lvl w:ilvl="5" w:tplc="2C0A001B" w:tentative="1">
      <w:start w:val="1"/>
      <w:numFmt w:val="lowerRoman"/>
      <w:lvlText w:val="%6."/>
      <w:lvlJc w:val="right"/>
      <w:pPr>
        <w:ind w:left="4604" w:hanging="180"/>
      </w:pPr>
      <w:rPr>
        <w:rFonts w:cs="Times New Roman"/>
      </w:rPr>
    </w:lvl>
    <w:lvl w:ilvl="6" w:tplc="2C0A000F" w:tentative="1">
      <w:start w:val="1"/>
      <w:numFmt w:val="decimal"/>
      <w:lvlText w:val="%7."/>
      <w:lvlJc w:val="left"/>
      <w:pPr>
        <w:ind w:left="5324" w:hanging="360"/>
      </w:pPr>
      <w:rPr>
        <w:rFonts w:cs="Times New Roman"/>
      </w:rPr>
    </w:lvl>
    <w:lvl w:ilvl="7" w:tplc="2C0A0019" w:tentative="1">
      <w:start w:val="1"/>
      <w:numFmt w:val="lowerLetter"/>
      <w:lvlText w:val="%8."/>
      <w:lvlJc w:val="left"/>
      <w:pPr>
        <w:ind w:left="6044" w:hanging="360"/>
      </w:pPr>
      <w:rPr>
        <w:rFonts w:cs="Times New Roman"/>
      </w:rPr>
    </w:lvl>
    <w:lvl w:ilvl="8" w:tplc="2C0A001B" w:tentative="1">
      <w:start w:val="1"/>
      <w:numFmt w:val="lowerRoman"/>
      <w:lvlText w:val="%9."/>
      <w:lvlJc w:val="right"/>
      <w:pPr>
        <w:ind w:left="6764" w:hanging="180"/>
      </w:pPr>
      <w:rPr>
        <w:rFonts w:cs="Times New Roman"/>
      </w:rPr>
    </w:lvl>
  </w:abstractNum>
  <w:abstractNum w:abstractNumId="12">
    <w:nsid w:val="63FB4F39"/>
    <w:multiLevelType w:val="hybridMultilevel"/>
    <w:tmpl w:val="E85A7D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67B26F50"/>
    <w:multiLevelType w:val="hybridMultilevel"/>
    <w:tmpl w:val="15D866EA"/>
    <w:lvl w:ilvl="0" w:tplc="B23AE906">
      <w:start w:val="1"/>
      <w:numFmt w:val="decimal"/>
      <w:lvlText w:val="%1."/>
      <w:lvlJc w:val="left"/>
      <w:pPr>
        <w:ind w:left="720" w:hanging="360"/>
      </w:pPr>
      <w:rPr>
        <w:rFonts w:cs="Arial" w:hint="default"/>
        <w:color w:val="000000"/>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4">
    <w:nsid w:val="691B7355"/>
    <w:multiLevelType w:val="hybridMultilevel"/>
    <w:tmpl w:val="8C587EA4"/>
    <w:lvl w:ilvl="0" w:tplc="2C0A0019">
      <w:start w:val="1"/>
      <w:numFmt w:val="lowerLetter"/>
      <w:lvlText w:val="%1."/>
      <w:lvlJc w:val="left"/>
      <w:pPr>
        <w:ind w:left="1778" w:hanging="360"/>
      </w:pPr>
      <w:rPr>
        <w:rFonts w:cs="Times New Roman"/>
      </w:rPr>
    </w:lvl>
    <w:lvl w:ilvl="1" w:tplc="2C0A0019">
      <w:start w:val="1"/>
      <w:numFmt w:val="lowerLetter"/>
      <w:lvlText w:val="%2."/>
      <w:lvlJc w:val="left"/>
      <w:pPr>
        <w:ind w:left="1724" w:hanging="360"/>
      </w:pPr>
      <w:rPr>
        <w:rFonts w:cs="Times New Roman"/>
      </w:rPr>
    </w:lvl>
    <w:lvl w:ilvl="2" w:tplc="2C0A001B">
      <w:start w:val="1"/>
      <w:numFmt w:val="lowerRoman"/>
      <w:lvlText w:val="%3."/>
      <w:lvlJc w:val="right"/>
      <w:pPr>
        <w:ind w:left="2444" w:hanging="180"/>
      </w:pPr>
      <w:rPr>
        <w:rFonts w:cs="Times New Roman"/>
      </w:rPr>
    </w:lvl>
    <w:lvl w:ilvl="3" w:tplc="2C0A000F" w:tentative="1">
      <w:start w:val="1"/>
      <w:numFmt w:val="decimal"/>
      <w:lvlText w:val="%4."/>
      <w:lvlJc w:val="left"/>
      <w:pPr>
        <w:ind w:left="3164" w:hanging="360"/>
      </w:pPr>
      <w:rPr>
        <w:rFonts w:cs="Times New Roman"/>
      </w:rPr>
    </w:lvl>
    <w:lvl w:ilvl="4" w:tplc="2C0A0019" w:tentative="1">
      <w:start w:val="1"/>
      <w:numFmt w:val="lowerLetter"/>
      <w:lvlText w:val="%5."/>
      <w:lvlJc w:val="left"/>
      <w:pPr>
        <w:ind w:left="3884" w:hanging="360"/>
      </w:pPr>
      <w:rPr>
        <w:rFonts w:cs="Times New Roman"/>
      </w:rPr>
    </w:lvl>
    <w:lvl w:ilvl="5" w:tplc="2C0A001B" w:tentative="1">
      <w:start w:val="1"/>
      <w:numFmt w:val="lowerRoman"/>
      <w:lvlText w:val="%6."/>
      <w:lvlJc w:val="right"/>
      <w:pPr>
        <w:ind w:left="4604" w:hanging="180"/>
      </w:pPr>
      <w:rPr>
        <w:rFonts w:cs="Times New Roman"/>
      </w:rPr>
    </w:lvl>
    <w:lvl w:ilvl="6" w:tplc="2C0A000F" w:tentative="1">
      <w:start w:val="1"/>
      <w:numFmt w:val="decimal"/>
      <w:lvlText w:val="%7."/>
      <w:lvlJc w:val="left"/>
      <w:pPr>
        <w:ind w:left="5324" w:hanging="360"/>
      </w:pPr>
      <w:rPr>
        <w:rFonts w:cs="Times New Roman"/>
      </w:rPr>
    </w:lvl>
    <w:lvl w:ilvl="7" w:tplc="2C0A0019" w:tentative="1">
      <w:start w:val="1"/>
      <w:numFmt w:val="lowerLetter"/>
      <w:lvlText w:val="%8."/>
      <w:lvlJc w:val="left"/>
      <w:pPr>
        <w:ind w:left="6044" w:hanging="360"/>
      </w:pPr>
      <w:rPr>
        <w:rFonts w:cs="Times New Roman"/>
      </w:rPr>
    </w:lvl>
    <w:lvl w:ilvl="8" w:tplc="2C0A001B" w:tentative="1">
      <w:start w:val="1"/>
      <w:numFmt w:val="lowerRoman"/>
      <w:lvlText w:val="%9."/>
      <w:lvlJc w:val="right"/>
      <w:pPr>
        <w:ind w:left="6764" w:hanging="180"/>
      </w:pPr>
      <w:rPr>
        <w:rFonts w:cs="Times New Roman"/>
      </w:rPr>
    </w:lvl>
  </w:abstractNum>
  <w:abstractNum w:abstractNumId="15">
    <w:nsid w:val="75BE4965"/>
    <w:multiLevelType w:val="hybridMultilevel"/>
    <w:tmpl w:val="8C587EA4"/>
    <w:lvl w:ilvl="0" w:tplc="2C0A0019">
      <w:start w:val="1"/>
      <w:numFmt w:val="lowerLetter"/>
      <w:lvlText w:val="%1."/>
      <w:lvlJc w:val="left"/>
      <w:pPr>
        <w:ind w:left="1778" w:hanging="360"/>
      </w:pPr>
      <w:rPr>
        <w:rFonts w:cs="Times New Roman"/>
      </w:rPr>
    </w:lvl>
    <w:lvl w:ilvl="1" w:tplc="2C0A0019" w:tentative="1">
      <w:start w:val="1"/>
      <w:numFmt w:val="lowerLetter"/>
      <w:lvlText w:val="%2."/>
      <w:lvlJc w:val="left"/>
      <w:pPr>
        <w:ind w:left="1724" w:hanging="360"/>
      </w:pPr>
      <w:rPr>
        <w:rFonts w:cs="Times New Roman"/>
      </w:rPr>
    </w:lvl>
    <w:lvl w:ilvl="2" w:tplc="2C0A001B">
      <w:start w:val="1"/>
      <w:numFmt w:val="lowerRoman"/>
      <w:lvlText w:val="%3."/>
      <w:lvlJc w:val="right"/>
      <w:pPr>
        <w:ind w:left="2444" w:hanging="180"/>
      </w:pPr>
      <w:rPr>
        <w:rFonts w:cs="Times New Roman"/>
      </w:rPr>
    </w:lvl>
    <w:lvl w:ilvl="3" w:tplc="2C0A000F" w:tentative="1">
      <w:start w:val="1"/>
      <w:numFmt w:val="decimal"/>
      <w:lvlText w:val="%4."/>
      <w:lvlJc w:val="left"/>
      <w:pPr>
        <w:ind w:left="3164" w:hanging="360"/>
      </w:pPr>
      <w:rPr>
        <w:rFonts w:cs="Times New Roman"/>
      </w:rPr>
    </w:lvl>
    <w:lvl w:ilvl="4" w:tplc="2C0A0019" w:tentative="1">
      <w:start w:val="1"/>
      <w:numFmt w:val="lowerLetter"/>
      <w:lvlText w:val="%5."/>
      <w:lvlJc w:val="left"/>
      <w:pPr>
        <w:ind w:left="3884" w:hanging="360"/>
      </w:pPr>
      <w:rPr>
        <w:rFonts w:cs="Times New Roman"/>
      </w:rPr>
    </w:lvl>
    <w:lvl w:ilvl="5" w:tplc="2C0A001B" w:tentative="1">
      <w:start w:val="1"/>
      <w:numFmt w:val="lowerRoman"/>
      <w:lvlText w:val="%6."/>
      <w:lvlJc w:val="right"/>
      <w:pPr>
        <w:ind w:left="4604" w:hanging="180"/>
      </w:pPr>
      <w:rPr>
        <w:rFonts w:cs="Times New Roman"/>
      </w:rPr>
    </w:lvl>
    <w:lvl w:ilvl="6" w:tplc="2C0A000F" w:tentative="1">
      <w:start w:val="1"/>
      <w:numFmt w:val="decimal"/>
      <w:lvlText w:val="%7."/>
      <w:lvlJc w:val="left"/>
      <w:pPr>
        <w:ind w:left="5324" w:hanging="360"/>
      </w:pPr>
      <w:rPr>
        <w:rFonts w:cs="Times New Roman"/>
      </w:rPr>
    </w:lvl>
    <w:lvl w:ilvl="7" w:tplc="2C0A0019" w:tentative="1">
      <w:start w:val="1"/>
      <w:numFmt w:val="lowerLetter"/>
      <w:lvlText w:val="%8."/>
      <w:lvlJc w:val="left"/>
      <w:pPr>
        <w:ind w:left="6044" w:hanging="360"/>
      </w:pPr>
      <w:rPr>
        <w:rFonts w:cs="Times New Roman"/>
      </w:rPr>
    </w:lvl>
    <w:lvl w:ilvl="8" w:tplc="2C0A001B" w:tentative="1">
      <w:start w:val="1"/>
      <w:numFmt w:val="lowerRoman"/>
      <w:lvlText w:val="%9."/>
      <w:lvlJc w:val="right"/>
      <w:pPr>
        <w:ind w:left="6764" w:hanging="180"/>
      </w:pPr>
      <w:rPr>
        <w:rFonts w:cs="Times New Roman"/>
      </w:rPr>
    </w:lvl>
  </w:abstractNum>
  <w:num w:numId="1">
    <w:abstractNumId w:val="14"/>
  </w:num>
  <w:num w:numId="2">
    <w:abstractNumId w:val="8"/>
  </w:num>
  <w:num w:numId="3">
    <w:abstractNumId w:val="3"/>
  </w:num>
  <w:num w:numId="4">
    <w:abstractNumId w:val="2"/>
  </w:num>
  <w:num w:numId="5">
    <w:abstractNumId w:val="1"/>
  </w:num>
  <w:num w:numId="6">
    <w:abstractNumId w:val="9"/>
  </w:num>
  <w:num w:numId="7">
    <w:abstractNumId w:val="15"/>
  </w:num>
  <w:num w:numId="8">
    <w:abstractNumId w:val="11"/>
  </w:num>
  <w:num w:numId="9">
    <w:abstractNumId w:val="6"/>
  </w:num>
  <w:num w:numId="10">
    <w:abstractNumId w:val="5"/>
  </w:num>
  <w:num w:numId="11">
    <w:abstractNumId w:val="7"/>
  </w:num>
  <w:num w:numId="12">
    <w:abstractNumId w:val="4"/>
  </w:num>
  <w:num w:numId="13">
    <w:abstractNumId w:val="0"/>
  </w:num>
  <w:num w:numId="14">
    <w:abstractNumId w:val="13"/>
  </w:num>
  <w:num w:numId="15">
    <w:abstractNumId w:val="12"/>
  </w:num>
  <w:num w:numId="16">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0C8B"/>
    <w:rsid w:val="000922F9"/>
    <w:rsid w:val="000B1C16"/>
    <w:rsid w:val="000E569E"/>
    <w:rsid w:val="001437EF"/>
    <w:rsid w:val="00291529"/>
    <w:rsid w:val="003A092E"/>
    <w:rsid w:val="003B1181"/>
    <w:rsid w:val="004029AC"/>
    <w:rsid w:val="004A5F2E"/>
    <w:rsid w:val="00575BF5"/>
    <w:rsid w:val="005E3B04"/>
    <w:rsid w:val="005E6E11"/>
    <w:rsid w:val="00606D83"/>
    <w:rsid w:val="00644F3E"/>
    <w:rsid w:val="006F54DA"/>
    <w:rsid w:val="0078155E"/>
    <w:rsid w:val="007E640D"/>
    <w:rsid w:val="008A38F0"/>
    <w:rsid w:val="00907A1F"/>
    <w:rsid w:val="00A117BE"/>
    <w:rsid w:val="00A31A62"/>
    <w:rsid w:val="00A9072C"/>
    <w:rsid w:val="00B66FEB"/>
    <w:rsid w:val="00C00F7A"/>
    <w:rsid w:val="00CE4585"/>
    <w:rsid w:val="00CF3723"/>
    <w:rsid w:val="00D06E24"/>
    <w:rsid w:val="00D233E4"/>
    <w:rsid w:val="00DE6C64"/>
    <w:rsid w:val="00E32E8E"/>
    <w:rsid w:val="00E40C8B"/>
    <w:rsid w:val="00F0073C"/>
    <w:rsid w:val="00F86667"/>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F2E"/>
    <w:pPr>
      <w:widowControl w:val="0"/>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A5F2E"/>
    <w:pPr>
      <w:spacing w:before="159"/>
      <w:ind w:left="511"/>
    </w:pPr>
    <w:rPr>
      <w:rFonts w:ascii="Algerian" w:hAnsi="Algerian"/>
      <w:sz w:val="24"/>
      <w:szCs w:val="24"/>
    </w:rPr>
  </w:style>
  <w:style w:type="character" w:customStyle="1" w:styleId="BodyTextChar">
    <w:name w:val="Body Text Char"/>
    <w:basedOn w:val="DefaultParagraphFont"/>
    <w:link w:val="BodyText"/>
    <w:uiPriority w:val="99"/>
    <w:semiHidden/>
    <w:rsid w:val="00AC6190"/>
    <w:rPr>
      <w:lang w:val="en-US" w:eastAsia="en-US"/>
    </w:rPr>
  </w:style>
  <w:style w:type="paragraph" w:styleId="ListParagraph">
    <w:name w:val="List Paragraph"/>
    <w:basedOn w:val="Normal"/>
    <w:uiPriority w:val="99"/>
    <w:qFormat/>
    <w:rsid w:val="004A5F2E"/>
  </w:style>
  <w:style w:type="paragraph" w:customStyle="1" w:styleId="TableParagraph">
    <w:name w:val="Table Paragraph"/>
    <w:basedOn w:val="Normal"/>
    <w:uiPriority w:val="99"/>
    <w:rsid w:val="004A5F2E"/>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NoSpacing">
    <w:name w:val="No Spacing"/>
    <w:uiPriority w:val="99"/>
    <w:qFormat/>
    <w:rsid w:val="00D233E4"/>
    <w:pPr>
      <w:widowControl w:val="0"/>
    </w:pPr>
    <w:rPr>
      <w:lang w:val="en-US" w:eastAsia="en-US"/>
    </w:rPr>
  </w:style>
  <w:style w:type="paragraph" w:styleId="FootnoteText">
    <w:name w:val="footnote text"/>
    <w:basedOn w:val="Normal"/>
    <w:link w:val="FootnoteTextChar"/>
    <w:uiPriority w:val="99"/>
    <w:semiHidden/>
    <w:rsid w:val="00B66FEB"/>
    <w:rPr>
      <w:sz w:val="20"/>
      <w:szCs w:val="20"/>
    </w:rPr>
  </w:style>
  <w:style w:type="character" w:customStyle="1" w:styleId="FootnoteTextChar">
    <w:name w:val="Footnote Text Char"/>
    <w:basedOn w:val="DefaultParagraphFont"/>
    <w:link w:val="FootnoteText"/>
    <w:uiPriority w:val="99"/>
    <w:semiHidden/>
    <w:locked/>
    <w:rsid w:val="00B66FEB"/>
    <w:rPr>
      <w:rFonts w:cs="Times New Roman"/>
      <w:sz w:val="20"/>
      <w:szCs w:val="20"/>
    </w:rPr>
  </w:style>
  <w:style w:type="character" w:styleId="FootnoteReference">
    <w:name w:val="footnote reference"/>
    <w:basedOn w:val="DefaultParagraphFont"/>
    <w:uiPriority w:val="99"/>
    <w:semiHidden/>
    <w:rsid w:val="00B66FEB"/>
    <w:rPr>
      <w:rFonts w:cs="Times New Roman"/>
      <w:vertAlign w:val="superscript"/>
    </w:rPr>
  </w:style>
  <w:style w:type="table" w:customStyle="1" w:styleId="Tablaconcuadrcula1">
    <w:name w:val="Tabla con cuadrícula1"/>
    <w:uiPriority w:val="99"/>
    <w:rsid w:val="00A31A6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2127</Words>
  <Characters>11703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ESPECIAL DE CONTADORES PÚBLICOS INDEPENDIENTES</dc:title>
  <dc:subject/>
  <dc:creator>OSCAR LÓPEZ</dc:creator>
  <cp:keywords/>
  <dc:description/>
  <cp:lastModifiedBy>dnardacchione</cp:lastModifiedBy>
  <cp:revision>2</cp:revision>
  <dcterms:created xsi:type="dcterms:W3CDTF">2021-03-26T14:39:00Z</dcterms:created>
  <dcterms:modified xsi:type="dcterms:W3CDTF">2021-03-26T14:39:00Z</dcterms:modified>
</cp:coreProperties>
</file>